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42DFC" w14:textId="61FD915F" w:rsidR="005B65C4" w:rsidRPr="00630B55" w:rsidRDefault="009E3384" w:rsidP="00630B55">
      <w:pPr>
        <w:pStyle w:val="NoSpacing"/>
        <w:jc w:val="center"/>
        <w:rPr>
          <w:rFonts w:cstheme="minorHAnsi"/>
          <w:b/>
          <w:sz w:val="24"/>
          <w:szCs w:val="24"/>
        </w:rPr>
      </w:pPr>
      <w:r>
        <w:rPr>
          <w:rFonts w:cstheme="minorHAnsi"/>
          <w:b/>
          <w:sz w:val="24"/>
          <w:szCs w:val="24"/>
        </w:rPr>
        <w:t xml:space="preserve">     </w:t>
      </w:r>
      <w:r w:rsidR="00BB3E96" w:rsidRPr="00630B55">
        <w:rPr>
          <w:rFonts w:cstheme="minorHAnsi"/>
          <w:b/>
          <w:sz w:val="24"/>
          <w:szCs w:val="24"/>
        </w:rPr>
        <w:t xml:space="preserve">Title 21 </w:t>
      </w:r>
      <w:r w:rsidR="003F2625" w:rsidRPr="00630B55">
        <w:rPr>
          <w:rFonts w:cstheme="minorHAnsi"/>
          <w:b/>
          <w:sz w:val="24"/>
          <w:szCs w:val="24"/>
        </w:rPr>
        <w:t>Vacancy Announcement</w:t>
      </w:r>
      <w:r w:rsidR="00BB3E96" w:rsidRPr="00630B55">
        <w:rPr>
          <w:rFonts w:cstheme="minorHAnsi"/>
          <w:b/>
          <w:sz w:val="24"/>
          <w:szCs w:val="24"/>
        </w:rPr>
        <w:t xml:space="preserve"> </w:t>
      </w:r>
    </w:p>
    <w:p w14:paraId="605281D3" w14:textId="2F7188F4" w:rsidR="003F2625" w:rsidRPr="00630B55" w:rsidRDefault="00342EF5" w:rsidP="00630B55">
      <w:pPr>
        <w:pStyle w:val="NoSpacing"/>
        <w:jc w:val="center"/>
        <w:rPr>
          <w:rFonts w:cstheme="minorHAnsi"/>
          <w:b/>
        </w:rPr>
      </w:pPr>
      <w:r>
        <w:rPr>
          <w:rFonts w:cstheme="minorHAnsi"/>
          <w:b/>
          <w:sz w:val="24"/>
          <w:szCs w:val="24"/>
        </w:rPr>
        <w:t xml:space="preserve">U.S. </w:t>
      </w:r>
      <w:r w:rsidR="003F2625" w:rsidRPr="00630B55">
        <w:rPr>
          <w:rFonts w:cstheme="minorHAnsi"/>
          <w:b/>
          <w:sz w:val="24"/>
          <w:szCs w:val="24"/>
        </w:rPr>
        <w:t>Department of Health and Human Services (HHS)</w:t>
      </w:r>
    </w:p>
    <w:p w14:paraId="584B7077" w14:textId="64692F19" w:rsidR="003C6921" w:rsidRDefault="003F2625">
      <w:pPr>
        <w:pStyle w:val="NoSpacing"/>
        <w:jc w:val="center"/>
        <w:rPr>
          <w:rFonts w:cstheme="minorHAnsi"/>
          <w:b/>
          <w:sz w:val="24"/>
          <w:szCs w:val="24"/>
        </w:rPr>
      </w:pPr>
      <w:r w:rsidRPr="00630B55">
        <w:rPr>
          <w:rFonts w:cstheme="minorHAnsi"/>
          <w:b/>
          <w:sz w:val="24"/>
          <w:szCs w:val="24"/>
        </w:rPr>
        <w:t>Food</w:t>
      </w:r>
      <w:r w:rsidR="00660C61" w:rsidRPr="00630B55">
        <w:rPr>
          <w:rFonts w:cstheme="minorHAnsi"/>
          <w:b/>
          <w:sz w:val="24"/>
          <w:szCs w:val="24"/>
        </w:rPr>
        <w:t xml:space="preserve"> and Drug Administration (FDA)</w:t>
      </w:r>
    </w:p>
    <w:p w14:paraId="3240B1EB" w14:textId="540E6A0E" w:rsidR="008D00B5" w:rsidRPr="00630B55" w:rsidRDefault="008D00B5">
      <w:pPr>
        <w:pStyle w:val="NoSpacing"/>
        <w:jc w:val="center"/>
        <w:rPr>
          <w:rFonts w:cstheme="minorHAnsi"/>
          <w:b/>
          <w:sz w:val="24"/>
          <w:szCs w:val="24"/>
        </w:rPr>
      </w:pPr>
      <w:r>
        <w:rPr>
          <w:rFonts w:cstheme="minorHAnsi"/>
          <w:b/>
          <w:sz w:val="24"/>
          <w:szCs w:val="24"/>
        </w:rPr>
        <w:t>Center for Drug Evaluation and Research (CDER)</w:t>
      </w:r>
    </w:p>
    <w:p w14:paraId="191F9B72" w14:textId="6AC172F5" w:rsidR="00660C61" w:rsidRDefault="007A1A77" w:rsidP="005B65C4">
      <w:pPr>
        <w:pStyle w:val="NoSpacing"/>
        <w:jc w:val="center"/>
        <w:rPr>
          <w:rFonts w:cstheme="minorHAnsi"/>
          <w:b/>
          <w:color w:val="000000" w:themeColor="text1"/>
          <w:spacing w:val="-1"/>
          <w:sz w:val="24"/>
          <w:szCs w:val="24"/>
        </w:rPr>
      </w:pPr>
      <w:r w:rsidRPr="007A1A77">
        <w:rPr>
          <w:rFonts w:cstheme="minorHAnsi"/>
          <w:b/>
          <w:color w:val="000000" w:themeColor="text1"/>
          <w:spacing w:val="-1"/>
          <w:sz w:val="24"/>
          <w:szCs w:val="24"/>
        </w:rPr>
        <w:t>O</w:t>
      </w:r>
      <w:r>
        <w:rPr>
          <w:rFonts w:cstheme="minorHAnsi"/>
          <w:b/>
          <w:color w:val="000000" w:themeColor="text1"/>
          <w:spacing w:val="-1"/>
          <w:sz w:val="24"/>
          <w:szCs w:val="24"/>
        </w:rPr>
        <w:t>ffice of Translational Sciences</w:t>
      </w:r>
      <w:r w:rsidR="008D00B5">
        <w:rPr>
          <w:rFonts w:cstheme="minorHAnsi"/>
          <w:b/>
          <w:color w:val="000000" w:themeColor="text1"/>
          <w:spacing w:val="-1"/>
          <w:sz w:val="24"/>
          <w:szCs w:val="24"/>
        </w:rPr>
        <w:t xml:space="preserve"> </w:t>
      </w:r>
      <w:r>
        <w:rPr>
          <w:rFonts w:cstheme="minorHAnsi"/>
          <w:b/>
          <w:color w:val="000000" w:themeColor="text1"/>
          <w:spacing w:val="-1"/>
          <w:sz w:val="24"/>
          <w:szCs w:val="24"/>
        </w:rPr>
        <w:t>(OTS)</w:t>
      </w:r>
    </w:p>
    <w:p w14:paraId="6DE2C30F" w14:textId="502C45B9" w:rsidR="00B356FC" w:rsidRDefault="00B356FC" w:rsidP="005B65C4">
      <w:pPr>
        <w:pStyle w:val="NoSpacing"/>
        <w:jc w:val="center"/>
        <w:rPr>
          <w:rFonts w:cstheme="minorHAnsi"/>
          <w:b/>
          <w:color w:val="000000" w:themeColor="text1"/>
          <w:spacing w:val="-1"/>
          <w:sz w:val="24"/>
          <w:szCs w:val="24"/>
        </w:rPr>
      </w:pPr>
      <w:r>
        <w:rPr>
          <w:rFonts w:cstheme="minorHAnsi"/>
          <w:b/>
          <w:color w:val="000000" w:themeColor="text1"/>
          <w:spacing w:val="-1"/>
          <w:sz w:val="24"/>
          <w:szCs w:val="24"/>
        </w:rPr>
        <w:t>Office of Clinical Pharmacology</w:t>
      </w:r>
      <w:r w:rsidR="008D00B5">
        <w:rPr>
          <w:rFonts w:cstheme="minorHAnsi"/>
          <w:b/>
          <w:color w:val="000000" w:themeColor="text1"/>
          <w:spacing w:val="-1"/>
          <w:sz w:val="24"/>
          <w:szCs w:val="24"/>
        </w:rPr>
        <w:t xml:space="preserve"> </w:t>
      </w:r>
      <w:r>
        <w:rPr>
          <w:rFonts w:cstheme="minorHAnsi"/>
          <w:b/>
          <w:color w:val="000000" w:themeColor="text1"/>
          <w:spacing w:val="-1"/>
          <w:sz w:val="24"/>
          <w:szCs w:val="24"/>
        </w:rPr>
        <w:t>(OCP)</w:t>
      </w:r>
    </w:p>
    <w:p w14:paraId="4D7B9E5A" w14:textId="547C6D4D" w:rsidR="003A2E0D" w:rsidRDefault="003A2E0D" w:rsidP="0EC5BE9E">
      <w:pPr>
        <w:pStyle w:val="NoSpacing"/>
        <w:jc w:val="center"/>
        <w:rPr>
          <w:b/>
          <w:bCs/>
          <w:color w:val="000000" w:themeColor="text1"/>
          <w:spacing w:val="-1"/>
          <w:sz w:val="24"/>
          <w:szCs w:val="24"/>
        </w:rPr>
      </w:pPr>
    </w:p>
    <w:p w14:paraId="1629A968" w14:textId="77777777" w:rsidR="003F2625" w:rsidRPr="00630B55" w:rsidRDefault="003F2625" w:rsidP="00630B55">
      <w:pPr>
        <w:pStyle w:val="NoSpacing"/>
        <w:rPr>
          <w:rFonts w:cstheme="minorHAnsi"/>
          <w:sz w:val="24"/>
          <w:szCs w:val="24"/>
          <w:u w:val="single"/>
        </w:rPr>
      </w:pPr>
    </w:p>
    <w:tbl>
      <w:tblPr>
        <w:tblStyle w:val="TableGrid"/>
        <w:tblW w:w="9535" w:type="dxa"/>
        <w:tblBorders>
          <w:insideH w:val="none" w:sz="0" w:space="0" w:color="auto"/>
          <w:insideV w:val="none" w:sz="0" w:space="0" w:color="auto"/>
        </w:tblBorders>
        <w:tblLook w:val="04A0" w:firstRow="1" w:lastRow="0" w:firstColumn="1" w:lastColumn="0" w:noHBand="0" w:noVBand="1"/>
      </w:tblPr>
      <w:tblGrid>
        <w:gridCol w:w="5485"/>
        <w:gridCol w:w="4050"/>
      </w:tblGrid>
      <w:tr w:rsidR="008E516C" w:rsidRPr="005B65C4" w14:paraId="08FA70A0" w14:textId="77777777" w:rsidTr="0EC5BE9E">
        <w:tc>
          <w:tcPr>
            <w:tcW w:w="9535" w:type="dxa"/>
            <w:gridSpan w:val="2"/>
          </w:tcPr>
          <w:p w14:paraId="67275E95" w14:textId="598F0B4D" w:rsidR="008E516C" w:rsidRDefault="008E516C" w:rsidP="0EC5BE9E">
            <w:pPr>
              <w:pStyle w:val="NoSpacing"/>
              <w:rPr>
                <w:sz w:val="24"/>
                <w:szCs w:val="24"/>
              </w:rPr>
            </w:pPr>
            <w:r w:rsidRPr="0EC5BE9E">
              <w:rPr>
                <w:b/>
                <w:bCs/>
                <w:sz w:val="24"/>
                <w:szCs w:val="24"/>
                <w:u w:val="single"/>
              </w:rPr>
              <w:t>Application Period</w:t>
            </w:r>
            <w:r w:rsidRPr="0EC5BE9E">
              <w:rPr>
                <w:b/>
                <w:bCs/>
                <w:sz w:val="24"/>
                <w:szCs w:val="24"/>
              </w:rPr>
              <w:t>:</w:t>
            </w:r>
            <w:r w:rsidRPr="0EC5BE9E">
              <w:rPr>
                <w:sz w:val="24"/>
                <w:szCs w:val="24"/>
              </w:rPr>
              <w:t xml:space="preserve"> </w:t>
            </w:r>
            <w:r w:rsidR="00D418CC" w:rsidRPr="0EC5BE9E">
              <w:rPr>
                <w:sz w:val="24"/>
                <w:szCs w:val="24"/>
              </w:rPr>
              <w:t xml:space="preserve"> </w:t>
            </w:r>
            <w:r w:rsidR="00E61490" w:rsidRPr="0EC5BE9E">
              <w:rPr>
                <w:sz w:val="24"/>
                <w:szCs w:val="24"/>
              </w:rPr>
              <w:t xml:space="preserve">August </w:t>
            </w:r>
            <w:r w:rsidR="00F64FDC" w:rsidRPr="0EC5BE9E">
              <w:rPr>
                <w:sz w:val="24"/>
                <w:szCs w:val="24"/>
              </w:rPr>
              <w:t>7</w:t>
            </w:r>
            <w:r w:rsidR="00E61490" w:rsidRPr="0EC5BE9E">
              <w:rPr>
                <w:sz w:val="24"/>
                <w:szCs w:val="24"/>
              </w:rPr>
              <w:t>, 2023</w:t>
            </w:r>
            <w:r w:rsidR="00F20FBF" w:rsidRPr="0EC5BE9E">
              <w:rPr>
                <w:sz w:val="24"/>
                <w:szCs w:val="24"/>
              </w:rPr>
              <w:t xml:space="preserve"> – </w:t>
            </w:r>
            <w:r w:rsidR="00E61490" w:rsidRPr="0EC5BE9E">
              <w:rPr>
                <w:sz w:val="24"/>
                <w:szCs w:val="24"/>
              </w:rPr>
              <w:t>August 18, 2023</w:t>
            </w:r>
          </w:p>
          <w:p w14:paraId="5FB171A5" w14:textId="77777777" w:rsidR="00342EF5" w:rsidRDefault="00342EF5" w:rsidP="00E61490">
            <w:pPr>
              <w:pStyle w:val="NoSpacing"/>
              <w:rPr>
                <w:rFonts w:cstheme="minorHAnsi"/>
                <w:u w:val="single"/>
              </w:rPr>
            </w:pPr>
          </w:p>
          <w:p w14:paraId="3F505C87" w14:textId="0F811C4D" w:rsidR="00E61490" w:rsidRPr="00630B55" w:rsidRDefault="00E61490" w:rsidP="00E61490">
            <w:pPr>
              <w:pStyle w:val="NoSpacing"/>
              <w:rPr>
                <w:rFonts w:cstheme="minorHAnsi"/>
                <w:u w:val="single"/>
              </w:rPr>
            </w:pPr>
          </w:p>
        </w:tc>
      </w:tr>
      <w:tr w:rsidR="008E516C" w:rsidRPr="005B65C4" w14:paraId="64FAF374" w14:textId="77777777" w:rsidTr="0EC5BE9E">
        <w:tc>
          <w:tcPr>
            <w:tcW w:w="9535" w:type="dxa"/>
            <w:gridSpan w:val="2"/>
          </w:tcPr>
          <w:p w14:paraId="2C25BAF9" w14:textId="67C34608" w:rsidR="008E516C" w:rsidRDefault="008E516C" w:rsidP="00630B55">
            <w:pPr>
              <w:pStyle w:val="NoSpacing"/>
              <w:rPr>
                <w:rFonts w:cstheme="minorHAnsi"/>
                <w:sz w:val="24"/>
                <w:szCs w:val="24"/>
              </w:rPr>
            </w:pPr>
            <w:r w:rsidRPr="00630B55">
              <w:rPr>
                <w:rFonts w:cstheme="minorHAnsi"/>
                <w:b/>
                <w:sz w:val="24"/>
                <w:szCs w:val="24"/>
                <w:u w:val="single"/>
              </w:rPr>
              <w:t>Area of Consideration:</w:t>
            </w:r>
            <w:r w:rsidR="00E61490">
              <w:rPr>
                <w:rFonts w:cstheme="minorHAnsi"/>
                <w:b/>
                <w:sz w:val="24"/>
                <w:szCs w:val="24"/>
                <w:u w:val="single"/>
              </w:rPr>
              <w:t xml:space="preserve"> </w:t>
            </w:r>
            <w:r w:rsidR="00E61490">
              <w:rPr>
                <w:rFonts w:cstheme="minorHAnsi"/>
                <w:b/>
                <w:sz w:val="24"/>
                <w:szCs w:val="24"/>
              </w:rPr>
              <w:t xml:space="preserve"> </w:t>
            </w:r>
            <w:r w:rsidR="00E61490">
              <w:rPr>
                <w:rFonts w:cstheme="minorHAnsi"/>
                <w:sz w:val="24"/>
                <w:szCs w:val="24"/>
              </w:rPr>
              <w:t xml:space="preserve"> </w:t>
            </w:r>
            <w:r w:rsidR="00A02006" w:rsidRPr="00A02006">
              <w:rPr>
                <w:rFonts w:cstheme="minorHAnsi"/>
                <w:sz w:val="24"/>
                <w:szCs w:val="24"/>
              </w:rPr>
              <w:t>United States Citizenship is required. You must be a U.S. Citizen or U.S. National. Foreign nationals or legal permanent residents are not eligible for consideration.</w:t>
            </w:r>
          </w:p>
          <w:p w14:paraId="18A7447A" w14:textId="77777777" w:rsidR="00342EF5" w:rsidRPr="00112787" w:rsidRDefault="00342EF5" w:rsidP="00630B55">
            <w:pPr>
              <w:pStyle w:val="NoSpacing"/>
              <w:rPr>
                <w:rFonts w:cstheme="minorHAnsi"/>
              </w:rPr>
            </w:pPr>
          </w:p>
          <w:p w14:paraId="2B93ED14" w14:textId="7FD86849" w:rsidR="008E516C" w:rsidRPr="00630B55" w:rsidRDefault="008E516C" w:rsidP="00630B55">
            <w:pPr>
              <w:pStyle w:val="NoSpacing"/>
              <w:rPr>
                <w:rFonts w:cstheme="minorHAnsi"/>
              </w:rPr>
            </w:pPr>
          </w:p>
        </w:tc>
      </w:tr>
      <w:tr w:rsidR="005B65C4" w:rsidRPr="005B65C4" w14:paraId="7A7FAFE3" w14:textId="77777777" w:rsidTr="0EC5BE9E">
        <w:tc>
          <w:tcPr>
            <w:tcW w:w="5485" w:type="dxa"/>
          </w:tcPr>
          <w:p w14:paraId="4AA119C6" w14:textId="3BC12A42" w:rsidR="00F179E5" w:rsidRPr="00630B55" w:rsidRDefault="00F179E5" w:rsidP="005B65C4">
            <w:pPr>
              <w:pStyle w:val="NoSpacing"/>
              <w:rPr>
                <w:rFonts w:cstheme="minorHAnsi"/>
                <w:sz w:val="24"/>
                <w:szCs w:val="24"/>
                <w:u w:val="single"/>
              </w:rPr>
            </w:pPr>
            <w:r w:rsidRPr="00112787">
              <w:rPr>
                <w:rFonts w:cstheme="minorHAnsi"/>
                <w:b/>
                <w:sz w:val="24"/>
                <w:szCs w:val="24"/>
                <w:u w:val="single"/>
              </w:rPr>
              <w:t>Position</w:t>
            </w:r>
            <w:r w:rsidRPr="00630B55">
              <w:rPr>
                <w:rFonts w:cstheme="minorHAnsi"/>
                <w:b/>
                <w:sz w:val="24"/>
                <w:szCs w:val="24"/>
              </w:rPr>
              <w:t>:</w:t>
            </w:r>
            <w:r w:rsidRPr="00630B55">
              <w:rPr>
                <w:rFonts w:cstheme="minorHAnsi"/>
                <w:sz w:val="24"/>
                <w:szCs w:val="24"/>
              </w:rPr>
              <w:t xml:space="preserve">  </w:t>
            </w:r>
            <w:r w:rsidR="00E61490">
              <w:rPr>
                <w:rFonts w:cstheme="minorHAnsi"/>
                <w:sz w:val="24"/>
                <w:szCs w:val="24"/>
              </w:rPr>
              <w:t xml:space="preserve">Associate Director </w:t>
            </w:r>
            <w:r w:rsidR="00E93D9D">
              <w:rPr>
                <w:rFonts w:cstheme="minorHAnsi"/>
                <w:sz w:val="24"/>
                <w:szCs w:val="24"/>
              </w:rPr>
              <w:t>for Therapeutic Review</w:t>
            </w:r>
          </w:p>
        </w:tc>
        <w:tc>
          <w:tcPr>
            <w:tcW w:w="4050" w:type="dxa"/>
          </w:tcPr>
          <w:p w14:paraId="64F5887D" w14:textId="74BD3AA4" w:rsidR="008E516C" w:rsidRPr="00112787" w:rsidRDefault="008E516C" w:rsidP="00630B55">
            <w:pPr>
              <w:pStyle w:val="NoSpacing"/>
              <w:rPr>
                <w:rFonts w:cstheme="minorHAnsi"/>
              </w:rPr>
            </w:pPr>
            <w:r w:rsidRPr="00630B55">
              <w:rPr>
                <w:rFonts w:cstheme="minorHAnsi"/>
                <w:b/>
                <w:sz w:val="24"/>
                <w:szCs w:val="24"/>
                <w:u w:val="single"/>
              </w:rPr>
              <w:t>Series</w:t>
            </w:r>
            <w:r w:rsidRPr="00630B55">
              <w:rPr>
                <w:rFonts w:cstheme="minorHAnsi"/>
                <w:b/>
                <w:sz w:val="24"/>
                <w:szCs w:val="24"/>
              </w:rPr>
              <w:t>:</w:t>
            </w:r>
            <w:r w:rsidRPr="00630B55">
              <w:rPr>
                <w:rFonts w:cstheme="minorHAnsi"/>
                <w:sz w:val="24"/>
                <w:szCs w:val="24"/>
              </w:rPr>
              <w:t xml:space="preserve"> </w:t>
            </w:r>
            <w:r w:rsidR="007A1A77">
              <w:rPr>
                <w:rFonts w:cstheme="minorHAnsi"/>
                <w:sz w:val="24"/>
                <w:szCs w:val="24"/>
              </w:rPr>
              <w:t>AD-0401</w:t>
            </w:r>
          </w:p>
          <w:p w14:paraId="2166A975" w14:textId="77777777" w:rsidR="00F179E5" w:rsidRPr="00630B55" w:rsidRDefault="00F179E5">
            <w:pPr>
              <w:pStyle w:val="NoSpacing"/>
              <w:rPr>
                <w:rFonts w:cstheme="minorHAnsi"/>
                <w:sz w:val="24"/>
                <w:szCs w:val="24"/>
                <w:u w:val="single"/>
              </w:rPr>
            </w:pPr>
          </w:p>
        </w:tc>
      </w:tr>
      <w:tr w:rsidR="005B65C4" w:rsidRPr="005B65C4" w14:paraId="73A5B0B9" w14:textId="77777777" w:rsidTr="0EC5BE9E">
        <w:tc>
          <w:tcPr>
            <w:tcW w:w="5485" w:type="dxa"/>
          </w:tcPr>
          <w:p w14:paraId="31CBDFF9" w14:textId="02C532C3" w:rsidR="008E516C" w:rsidRPr="003C4B26" w:rsidRDefault="008E516C" w:rsidP="00630B55">
            <w:pPr>
              <w:pStyle w:val="NoSpacing"/>
              <w:rPr>
                <w:rFonts w:cstheme="minorHAnsi"/>
                <w:sz w:val="24"/>
                <w:szCs w:val="24"/>
              </w:rPr>
            </w:pPr>
            <w:r w:rsidRPr="00112787">
              <w:rPr>
                <w:rFonts w:cstheme="minorHAnsi"/>
                <w:b/>
                <w:sz w:val="24"/>
                <w:szCs w:val="24"/>
                <w:u w:val="single"/>
              </w:rPr>
              <w:t>Location(s)</w:t>
            </w:r>
            <w:r w:rsidRPr="00112787">
              <w:rPr>
                <w:rFonts w:cstheme="minorHAnsi"/>
                <w:b/>
                <w:sz w:val="24"/>
                <w:szCs w:val="24"/>
              </w:rPr>
              <w:t>:</w:t>
            </w:r>
            <w:r w:rsidRPr="00630B55">
              <w:rPr>
                <w:rFonts w:cstheme="minorHAnsi"/>
                <w:sz w:val="24"/>
                <w:szCs w:val="24"/>
              </w:rPr>
              <w:t xml:space="preserve"> </w:t>
            </w:r>
            <w:r w:rsidRPr="003C4B26">
              <w:rPr>
                <w:rFonts w:cstheme="minorHAnsi"/>
                <w:sz w:val="24"/>
                <w:szCs w:val="24"/>
              </w:rPr>
              <w:t xml:space="preserve"> </w:t>
            </w:r>
            <w:r w:rsidR="007A1A77">
              <w:rPr>
                <w:rFonts w:cstheme="minorHAnsi"/>
                <w:sz w:val="24"/>
                <w:szCs w:val="24"/>
              </w:rPr>
              <w:t xml:space="preserve">Silver Spring, MD </w:t>
            </w:r>
          </w:p>
          <w:p w14:paraId="094284DA" w14:textId="77777777" w:rsidR="00F179E5" w:rsidRDefault="00F179E5" w:rsidP="005B65C4">
            <w:pPr>
              <w:pStyle w:val="NoSpacing"/>
              <w:rPr>
                <w:rFonts w:cstheme="minorHAnsi"/>
                <w:sz w:val="24"/>
                <w:szCs w:val="24"/>
                <w:u w:val="single"/>
              </w:rPr>
            </w:pPr>
          </w:p>
          <w:p w14:paraId="4B9DE250" w14:textId="16BA0278" w:rsidR="00DC70B2" w:rsidRDefault="00DC70B2">
            <w:pPr>
              <w:pStyle w:val="NoSpacing"/>
              <w:rPr>
                <w:rFonts w:cstheme="minorHAnsi"/>
                <w:b/>
                <w:color w:val="FF0000"/>
                <w:sz w:val="24"/>
                <w:szCs w:val="24"/>
              </w:rPr>
            </w:pPr>
            <w:r w:rsidRPr="00D43D15">
              <w:rPr>
                <w:rFonts w:cstheme="minorHAnsi"/>
                <w:b/>
                <w:sz w:val="24"/>
                <w:szCs w:val="24"/>
                <w:u w:val="single"/>
              </w:rPr>
              <w:t xml:space="preserve">Work Schedule: </w:t>
            </w:r>
            <w:r w:rsidRPr="00D43D15">
              <w:rPr>
                <w:rFonts w:cstheme="minorHAnsi"/>
                <w:b/>
                <w:color w:val="FF0000"/>
                <w:sz w:val="24"/>
                <w:szCs w:val="24"/>
              </w:rPr>
              <w:t xml:space="preserve"> </w:t>
            </w:r>
            <w:r w:rsidR="00040CF3" w:rsidRPr="00040CF3">
              <w:rPr>
                <w:rFonts w:cstheme="minorHAnsi"/>
                <w:b/>
                <w:sz w:val="24"/>
                <w:szCs w:val="24"/>
              </w:rPr>
              <w:t>Full</w:t>
            </w:r>
            <w:r w:rsidR="00342EF5">
              <w:rPr>
                <w:rFonts w:cstheme="minorHAnsi"/>
                <w:b/>
                <w:sz w:val="24"/>
                <w:szCs w:val="24"/>
              </w:rPr>
              <w:t>-</w:t>
            </w:r>
            <w:r w:rsidR="00040CF3" w:rsidRPr="00040CF3">
              <w:rPr>
                <w:rFonts w:cstheme="minorHAnsi"/>
                <w:b/>
                <w:sz w:val="24"/>
                <w:szCs w:val="24"/>
              </w:rPr>
              <w:t xml:space="preserve">Time </w:t>
            </w:r>
          </w:p>
          <w:p w14:paraId="0F8B951F" w14:textId="19B870D1" w:rsidR="00040CF3" w:rsidRPr="00630B55" w:rsidRDefault="00040CF3">
            <w:pPr>
              <w:pStyle w:val="NoSpacing"/>
              <w:rPr>
                <w:rFonts w:cstheme="minorHAnsi"/>
                <w:sz w:val="24"/>
                <w:szCs w:val="24"/>
              </w:rPr>
            </w:pPr>
          </w:p>
        </w:tc>
        <w:tc>
          <w:tcPr>
            <w:tcW w:w="4050" w:type="dxa"/>
          </w:tcPr>
          <w:p w14:paraId="78E49143" w14:textId="71C546F4" w:rsidR="008E516C" w:rsidRPr="00630B55" w:rsidRDefault="008E516C" w:rsidP="00E61490">
            <w:pPr>
              <w:pStyle w:val="NoSpacing"/>
              <w:rPr>
                <w:rFonts w:cstheme="minorHAnsi"/>
                <w:sz w:val="24"/>
                <w:szCs w:val="24"/>
                <w:u w:val="single"/>
              </w:rPr>
            </w:pPr>
            <w:r w:rsidRPr="00630B55">
              <w:rPr>
                <w:rFonts w:cstheme="minorHAnsi"/>
                <w:b/>
                <w:sz w:val="24"/>
                <w:szCs w:val="24"/>
                <w:u w:val="single"/>
              </w:rPr>
              <w:t>Salary</w:t>
            </w:r>
            <w:r w:rsidRPr="00630B55">
              <w:rPr>
                <w:rFonts w:cstheme="minorHAnsi"/>
                <w:b/>
                <w:sz w:val="24"/>
                <w:szCs w:val="24"/>
              </w:rPr>
              <w:t>:</w:t>
            </w:r>
            <w:r w:rsidRPr="00630B55">
              <w:rPr>
                <w:rFonts w:cstheme="minorHAnsi"/>
                <w:sz w:val="24"/>
                <w:szCs w:val="24"/>
              </w:rPr>
              <w:t xml:space="preserve"> </w:t>
            </w:r>
            <w:r w:rsidR="00F64FDC">
              <w:rPr>
                <w:rFonts w:cstheme="minorHAnsi"/>
                <w:sz w:val="24"/>
                <w:szCs w:val="24"/>
              </w:rPr>
              <w:t xml:space="preserve">Starting at </w:t>
            </w:r>
            <w:r w:rsidR="00040CF3">
              <w:rPr>
                <w:rFonts w:cstheme="minorHAnsi"/>
                <w:sz w:val="24"/>
                <w:szCs w:val="24"/>
              </w:rPr>
              <w:t>$</w:t>
            </w:r>
            <w:r w:rsidR="00E61490">
              <w:rPr>
                <w:rFonts w:cstheme="minorHAnsi"/>
                <w:sz w:val="24"/>
                <w:szCs w:val="24"/>
              </w:rPr>
              <w:t>1</w:t>
            </w:r>
            <w:r w:rsidR="008D00B5">
              <w:rPr>
                <w:rFonts w:cstheme="minorHAnsi"/>
                <w:sz w:val="24"/>
                <w:szCs w:val="24"/>
              </w:rPr>
              <w:t>55,700</w:t>
            </w:r>
          </w:p>
        </w:tc>
      </w:tr>
      <w:tr w:rsidR="008E516C" w:rsidRPr="005B65C4" w14:paraId="144A4912" w14:textId="77777777" w:rsidTr="0EC5BE9E">
        <w:tc>
          <w:tcPr>
            <w:tcW w:w="5485" w:type="dxa"/>
          </w:tcPr>
          <w:p w14:paraId="7BF2F77A" w14:textId="2DFCDD64" w:rsidR="001D2AF0" w:rsidRPr="009206E2" w:rsidRDefault="008E516C" w:rsidP="00630B55">
            <w:pPr>
              <w:pStyle w:val="NoSpacing"/>
              <w:rPr>
                <w:sz w:val="24"/>
                <w:szCs w:val="24"/>
                <w:highlight w:val="yellow"/>
              </w:rPr>
            </w:pPr>
            <w:r w:rsidRPr="00F64FDC">
              <w:rPr>
                <w:rFonts w:cstheme="minorHAnsi"/>
                <w:b/>
                <w:sz w:val="24"/>
                <w:szCs w:val="24"/>
                <w:u w:val="single"/>
              </w:rPr>
              <w:t>Cures Band(s)</w:t>
            </w:r>
            <w:r w:rsidR="00040CF3" w:rsidRPr="00F64FDC">
              <w:rPr>
                <w:rFonts w:cstheme="minorHAnsi"/>
                <w:b/>
                <w:sz w:val="24"/>
                <w:szCs w:val="24"/>
                <w:u w:val="single"/>
              </w:rPr>
              <w:t>:</w:t>
            </w:r>
            <w:r w:rsidR="00040CF3" w:rsidRPr="00D1686B">
              <w:rPr>
                <w:rFonts w:cstheme="minorHAnsi"/>
                <w:b/>
                <w:sz w:val="24"/>
                <w:szCs w:val="24"/>
              </w:rPr>
              <w:t xml:space="preserve"> Band </w:t>
            </w:r>
            <w:r w:rsidR="008D00B5" w:rsidRPr="00D1686B">
              <w:rPr>
                <w:rFonts w:cstheme="minorHAnsi"/>
                <w:b/>
                <w:sz w:val="24"/>
                <w:szCs w:val="24"/>
              </w:rPr>
              <w:t>E</w:t>
            </w:r>
            <w:r w:rsidR="00040CF3" w:rsidRPr="00D1686B">
              <w:rPr>
                <w:rFonts w:cstheme="minorHAnsi"/>
                <w:b/>
                <w:sz w:val="24"/>
                <w:szCs w:val="24"/>
              </w:rPr>
              <w:t xml:space="preserve"> </w:t>
            </w:r>
          </w:p>
        </w:tc>
        <w:tc>
          <w:tcPr>
            <w:tcW w:w="4050" w:type="dxa"/>
          </w:tcPr>
          <w:p w14:paraId="7EA14639" w14:textId="1A2978E6" w:rsidR="008E516C" w:rsidRPr="00F64FDC" w:rsidRDefault="008E516C">
            <w:pPr>
              <w:pStyle w:val="NoSpacing"/>
              <w:rPr>
                <w:rFonts w:cstheme="minorHAnsi"/>
                <w:sz w:val="24"/>
                <w:szCs w:val="24"/>
                <w:u w:val="single"/>
              </w:rPr>
            </w:pPr>
            <w:r w:rsidRPr="00F64FDC">
              <w:rPr>
                <w:rFonts w:cstheme="minorHAnsi"/>
                <w:b/>
                <w:sz w:val="24"/>
                <w:szCs w:val="24"/>
                <w:u w:val="single"/>
              </w:rPr>
              <w:t xml:space="preserve">Full Performance </w:t>
            </w:r>
            <w:r w:rsidR="00F6136E" w:rsidRPr="00F64FDC">
              <w:rPr>
                <w:rFonts w:cstheme="minorHAnsi"/>
                <w:b/>
                <w:sz w:val="24"/>
                <w:szCs w:val="24"/>
                <w:u w:val="single"/>
              </w:rPr>
              <w:t>B</w:t>
            </w:r>
            <w:r w:rsidR="00F6136E" w:rsidRPr="00F64FDC">
              <w:rPr>
                <w:b/>
                <w:sz w:val="24"/>
                <w:szCs w:val="24"/>
                <w:u w:val="single"/>
              </w:rPr>
              <w:t xml:space="preserve">and </w:t>
            </w:r>
            <w:r w:rsidRPr="00F64FDC">
              <w:rPr>
                <w:rFonts w:cstheme="minorHAnsi"/>
                <w:b/>
                <w:sz w:val="24"/>
                <w:szCs w:val="24"/>
                <w:u w:val="single"/>
              </w:rPr>
              <w:t>Level:</w:t>
            </w:r>
            <w:r w:rsidRPr="00D1686B">
              <w:rPr>
                <w:rFonts w:cstheme="minorHAnsi"/>
                <w:sz w:val="24"/>
                <w:szCs w:val="24"/>
              </w:rPr>
              <w:t xml:space="preserve"> </w:t>
            </w:r>
            <w:r w:rsidR="00040CF3" w:rsidRPr="00D1686B">
              <w:rPr>
                <w:rFonts w:cstheme="minorHAnsi"/>
                <w:sz w:val="24"/>
                <w:szCs w:val="24"/>
              </w:rPr>
              <w:t xml:space="preserve"> </w:t>
            </w:r>
            <w:r w:rsidR="00040CF3" w:rsidRPr="00D1686B">
              <w:rPr>
                <w:rFonts w:cstheme="minorHAnsi"/>
                <w:b/>
                <w:bCs/>
                <w:sz w:val="24"/>
                <w:szCs w:val="24"/>
              </w:rPr>
              <w:t xml:space="preserve">Band </w:t>
            </w:r>
            <w:r w:rsidR="007A13E0" w:rsidRPr="00D1686B">
              <w:rPr>
                <w:rFonts w:cstheme="minorHAnsi"/>
                <w:b/>
                <w:bCs/>
                <w:sz w:val="24"/>
                <w:szCs w:val="24"/>
              </w:rPr>
              <w:t>E</w:t>
            </w:r>
          </w:p>
          <w:p w14:paraId="330CFCC8" w14:textId="77777777" w:rsidR="008E516C" w:rsidRPr="009206E2" w:rsidRDefault="008E516C" w:rsidP="00630B55">
            <w:pPr>
              <w:pStyle w:val="NoSpacing"/>
              <w:rPr>
                <w:rFonts w:cstheme="minorHAnsi"/>
                <w:highlight w:val="yellow"/>
                <w:u w:val="single"/>
              </w:rPr>
            </w:pPr>
          </w:p>
        </w:tc>
      </w:tr>
      <w:tr w:rsidR="008E516C" w:rsidRPr="005B65C4" w14:paraId="5E2741EA" w14:textId="77777777" w:rsidTr="0EC5BE9E">
        <w:tc>
          <w:tcPr>
            <w:tcW w:w="9535" w:type="dxa"/>
            <w:gridSpan w:val="2"/>
          </w:tcPr>
          <w:p w14:paraId="4ECFD959" w14:textId="37D728EA" w:rsidR="008E516C" w:rsidRDefault="008E516C" w:rsidP="00630B55">
            <w:pPr>
              <w:pStyle w:val="NoSpacing"/>
              <w:rPr>
                <w:rFonts w:cstheme="minorHAnsi"/>
                <w:sz w:val="24"/>
                <w:szCs w:val="24"/>
              </w:rPr>
            </w:pPr>
            <w:r w:rsidRPr="00630B55">
              <w:rPr>
                <w:rFonts w:cstheme="minorHAnsi"/>
                <w:b/>
                <w:sz w:val="24"/>
                <w:szCs w:val="24"/>
                <w:u w:val="single"/>
              </w:rPr>
              <w:t>Travel Requirements:</w:t>
            </w:r>
            <w:r w:rsidRPr="00630B55">
              <w:rPr>
                <w:rFonts w:cstheme="minorHAnsi"/>
                <w:sz w:val="24"/>
                <w:szCs w:val="24"/>
              </w:rPr>
              <w:t xml:space="preserve"> </w:t>
            </w:r>
            <w:r w:rsidR="00040CF3">
              <w:rPr>
                <w:rFonts w:cstheme="minorHAnsi"/>
                <w:sz w:val="24"/>
                <w:szCs w:val="24"/>
              </w:rPr>
              <w:t xml:space="preserve">Up to </w:t>
            </w:r>
            <w:r w:rsidR="00E61490">
              <w:rPr>
                <w:rFonts w:cstheme="minorHAnsi"/>
                <w:sz w:val="24"/>
                <w:szCs w:val="24"/>
              </w:rPr>
              <w:t>2</w:t>
            </w:r>
            <w:r w:rsidR="00040CF3">
              <w:rPr>
                <w:rFonts w:cstheme="minorHAnsi"/>
                <w:sz w:val="24"/>
                <w:szCs w:val="24"/>
              </w:rPr>
              <w:t>5%</w:t>
            </w:r>
            <w:r w:rsidR="00342EF5">
              <w:rPr>
                <w:rFonts w:cstheme="minorHAnsi"/>
                <w:sz w:val="24"/>
                <w:szCs w:val="24"/>
              </w:rPr>
              <w:t xml:space="preserve"> or less</w:t>
            </w:r>
          </w:p>
          <w:p w14:paraId="1D79F42C" w14:textId="77777777" w:rsidR="00040CF3" w:rsidRDefault="00040CF3" w:rsidP="00630B55">
            <w:pPr>
              <w:pStyle w:val="NoSpacing"/>
              <w:rPr>
                <w:rFonts w:cstheme="minorHAnsi"/>
                <w:sz w:val="24"/>
                <w:szCs w:val="24"/>
              </w:rPr>
            </w:pPr>
          </w:p>
          <w:p w14:paraId="07B5E479" w14:textId="404EDA0D" w:rsidR="001A26E6" w:rsidRPr="00112787" w:rsidRDefault="001A26E6" w:rsidP="001A26E6">
            <w:pPr>
              <w:pStyle w:val="NoSpacing"/>
              <w:rPr>
                <w:rFonts w:cstheme="minorHAnsi"/>
                <w:color w:val="FF0000"/>
                <w:sz w:val="24"/>
                <w:szCs w:val="24"/>
              </w:rPr>
            </w:pPr>
            <w:r>
              <w:rPr>
                <w:rFonts w:cstheme="minorHAnsi"/>
                <w:b/>
                <w:sz w:val="24"/>
                <w:szCs w:val="24"/>
                <w:u w:val="single"/>
              </w:rPr>
              <w:t>Bargaining Unit</w:t>
            </w:r>
            <w:r w:rsidRPr="00630B55">
              <w:rPr>
                <w:rFonts w:cstheme="minorHAnsi"/>
                <w:b/>
                <w:sz w:val="24"/>
                <w:szCs w:val="24"/>
                <w:u w:val="single"/>
              </w:rPr>
              <w:t>:</w:t>
            </w:r>
            <w:r w:rsidRPr="00630B55">
              <w:rPr>
                <w:rFonts w:cstheme="minorHAnsi"/>
                <w:sz w:val="24"/>
                <w:szCs w:val="24"/>
              </w:rPr>
              <w:t xml:space="preserve"> </w:t>
            </w:r>
            <w:r w:rsidR="007472F0">
              <w:rPr>
                <w:rFonts w:cstheme="minorHAnsi"/>
                <w:sz w:val="24"/>
                <w:szCs w:val="24"/>
              </w:rPr>
              <w:t xml:space="preserve"> </w:t>
            </w:r>
            <w:r w:rsidR="00FC0566">
              <w:rPr>
                <w:rFonts w:cstheme="minorHAnsi"/>
                <w:sz w:val="24"/>
                <w:szCs w:val="24"/>
              </w:rPr>
              <w:t xml:space="preserve">8888 </w:t>
            </w:r>
          </w:p>
          <w:p w14:paraId="7A723749" w14:textId="7D3C2720" w:rsidR="001A26E6" w:rsidRPr="00630B55" w:rsidRDefault="001A26E6" w:rsidP="00630B55">
            <w:pPr>
              <w:pStyle w:val="NoSpacing"/>
              <w:rPr>
                <w:rFonts w:cstheme="minorHAnsi"/>
                <w:sz w:val="24"/>
                <w:szCs w:val="24"/>
              </w:rPr>
            </w:pPr>
          </w:p>
          <w:p w14:paraId="73033C25" w14:textId="62C6774B" w:rsidR="008E516C" w:rsidRPr="00630B55" w:rsidRDefault="008E516C" w:rsidP="00180EFC">
            <w:pPr>
              <w:pStyle w:val="NoSpacing"/>
              <w:rPr>
                <w:rFonts w:cstheme="minorHAnsi"/>
                <w:sz w:val="24"/>
                <w:szCs w:val="24"/>
                <w:u w:val="single"/>
              </w:rPr>
            </w:pPr>
            <w:r w:rsidRPr="00630B55">
              <w:rPr>
                <w:rFonts w:cstheme="minorHAnsi"/>
                <w:b/>
                <w:sz w:val="24"/>
                <w:szCs w:val="24"/>
                <w:u w:val="single"/>
              </w:rPr>
              <w:t>Relocation Expenses Reimbursement</w:t>
            </w:r>
            <w:r w:rsidRPr="00630B55">
              <w:rPr>
                <w:rFonts w:cstheme="minorHAnsi"/>
                <w:b/>
                <w:sz w:val="24"/>
                <w:szCs w:val="24"/>
              </w:rPr>
              <w:t>:</w:t>
            </w:r>
            <w:r w:rsidRPr="00630B55">
              <w:rPr>
                <w:rFonts w:cstheme="minorHAnsi"/>
                <w:sz w:val="24"/>
                <w:szCs w:val="24"/>
              </w:rPr>
              <w:t xml:space="preserve"> </w:t>
            </w:r>
            <w:r w:rsidR="00E61490">
              <w:rPr>
                <w:rFonts w:cstheme="minorHAnsi"/>
                <w:sz w:val="24"/>
                <w:szCs w:val="24"/>
              </w:rPr>
              <w:t xml:space="preserve">No </w:t>
            </w:r>
            <w:r w:rsidRPr="00630B55">
              <w:rPr>
                <w:rFonts w:cstheme="minorHAnsi"/>
                <w:sz w:val="24"/>
                <w:szCs w:val="24"/>
              </w:rPr>
              <w:t xml:space="preserve">reimbursement of relocation expenses </w:t>
            </w:r>
            <w:r w:rsidR="00E61490">
              <w:rPr>
                <w:rFonts w:cstheme="minorHAnsi"/>
                <w:sz w:val="24"/>
                <w:szCs w:val="24"/>
              </w:rPr>
              <w:t>for this position.</w:t>
            </w:r>
          </w:p>
        </w:tc>
      </w:tr>
    </w:tbl>
    <w:p w14:paraId="5AC3A909" w14:textId="71D3C8F3" w:rsidR="005B65C4" w:rsidRPr="00630B55" w:rsidRDefault="00973D1F" w:rsidP="00630B55">
      <w:pPr>
        <w:pStyle w:val="NoSpacing"/>
        <w:jc w:val="center"/>
        <w:rPr>
          <w:rFonts w:eastAsia="Times New Roman" w:cstheme="minorHAnsi"/>
          <w:b/>
          <w:sz w:val="24"/>
          <w:szCs w:val="24"/>
        </w:rPr>
      </w:pPr>
      <w:bookmarkStart w:id="0" w:name="_Hlk23420930"/>
      <w:r w:rsidRPr="00630B55">
        <w:rPr>
          <w:rFonts w:eastAsia="Times New Roman" w:cstheme="minorHAnsi"/>
          <w:b/>
          <w:sz w:val="24"/>
          <w:szCs w:val="24"/>
        </w:rPr>
        <w:t>This position is being filled under a</w:t>
      </w:r>
      <w:r w:rsidR="005B65C4" w:rsidRPr="00630B55">
        <w:rPr>
          <w:rFonts w:eastAsia="Times New Roman" w:cstheme="minorHAnsi"/>
          <w:b/>
          <w:sz w:val="24"/>
          <w:szCs w:val="24"/>
        </w:rPr>
        <w:t xml:space="preserve"> stream</w:t>
      </w:r>
      <w:r w:rsidR="00DD374F">
        <w:rPr>
          <w:rFonts w:eastAsia="Times New Roman" w:cstheme="minorHAnsi"/>
          <w:b/>
          <w:sz w:val="24"/>
          <w:szCs w:val="24"/>
        </w:rPr>
        <w:t>-</w:t>
      </w:r>
      <w:r w:rsidR="005B65C4" w:rsidRPr="00630B55">
        <w:rPr>
          <w:rFonts w:eastAsia="Times New Roman" w:cstheme="minorHAnsi"/>
          <w:b/>
          <w:sz w:val="24"/>
          <w:szCs w:val="24"/>
        </w:rPr>
        <w:t xml:space="preserve">lined </w:t>
      </w:r>
      <w:r w:rsidRPr="00630B55">
        <w:rPr>
          <w:rFonts w:eastAsia="Times New Roman" w:cstheme="minorHAnsi"/>
          <w:b/>
          <w:sz w:val="24"/>
          <w:szCs w:val="24"/>
        </w:rPr>
        <w:t>hiring authority, Title 21, Section 3072 of the 21st Century Cures Act. The candidate selected for this position will serve under a career or career-conditional appointment and be paid under the provisions of th</w:t>
      </w:r>
      <w:r w:rsidR="005B65C4" w:rsidRPr="00630B55">
        <w:rPr>
          <w:rFonts w:eastAsia="Times New Roman" w:cstheme="minorHAnsi"/>
          <w:b/>
          <w:sz w:val="24"/>
          <w:szCs w:val="24"/>
        </w:rPr>
        <w:t>is</w:t>
      </w:r>
      <w:r w:rsidRPr="00630B55">
        <w:rPr>
          <w:rFonts w:eastAsia="Times New Roman" w:cstheme="minorHAnsi"/>
          <w:b/>
          <w:sz w:val="24"/>
          <w:szCs w:val="24"/>
        </w:rPr>
        <w:t xml:space="preserve"> authority.</w:t>
      </w:r>
    </w:p>
    <w:bookmarkEnd w:id="0"/>
    <w:p w14:paraId="10A62335" w14:textId="64D10105" w:rsidR="005B65C4" w:rsidRPr="00630B55" w:rsidRDefault="005B65C4" w:rsidP="00630B55">
      <w:pPr>
        <w:pStyle w:val="NoSpacing"/>
        <w:jc w:val="center"/>
        <w:rPr>
          <w:rFonts w:cstheme="minorHAnsi"/>
          <w:b/>
          <w:sz w:val="24"/>
          <w:szCs w:val="24"/>
        </w:rPr>
      </w:pPr>
      <w:r w:rsidRPr="00630B55">
        <w:rPr>
          <w:rFonts w:cstheme="minorHAnsi"/>
          <w:b/>
          <w:sz w:val="24"/>
          <w:szCs w:val="24"/>
        </w:rPr>
        <w:t>Additional information on 21st Century Cures Act can be found here:</w:t>
      </w:r>
    </w:p>
    <w:p w14:paraId="78E1BCB8" w14:textId="048079AF" w:rsidR="00D82EB4" w:rsidRPr="00630B55" w:rsidRDefault="00296C66" w:rsidP="00630B55">
      <w:pPr>
        <w:pStyle w:val="NoSpacing"/>
        <w:jc w:val="center"/>
        <w:rPr>
          <w:rFonts w:cstheme="minorHAnsi"/>
          <w:b/>
          <w:sz w:val="24"/>
          <w:szCs w:val="24"/>
        </w:rPr>
      </w:pPr>
      <w:hyperlink r:id="rId11" w:history="1">
        <w:r w:rsidR="005B65C4" w:rsidRPr="00630B55">
          <w:rPr>
            <w:rStyle w:val="Hyperlink"/>
            <w:rFonts w:cstheme="minorHAnsi"/>
            <w:b/>
            <w:sz w:val="24"/>
            <w:szCs w:val="24"/>
          </w:rPr>
          <w:t>21st Century Cures Act Information</w:t>
        </w:r>
      </w:hyperlink>
    </w:p>
    <w:p w14:paraId="7A1725E2" w14:textId="1792FB01" w:rsidR="00D831AB" w:rsidRDefault="00D831AB" w:rsidP="00D831AB">
      <w:pPr>
        <w:pStyle w:val="Heading1"/>
        <w:rPr>
          <w:lang w:val="en"/>
        </w:rPr>
      </w:pPr>
      <w:r>
        <w:rPr>
          <w:lang w:val="en"/>
        </w:rPr>
        <w:t>Introduction</w:t>
      </w:r>
    </w:p>
    <w:p w14:paraId="5930A318" w14:textId="582C773C" w:rsidR="0037421F" w:rsidRPr="00342EF5" w:rsidRDefault="00EA4142" w:rsidP="0037421F">
      <w:pPr>
        <w:pStyle w:val="NoSpacing"/>
        <w:rPr>
          <w:rFonts w:eastAsia="Times New Roman" w:cstheme="minorHAnsi"/>
          <w:sz w:val="24"/>
          <w:szCs w:val="24"/>
          <w:lang w:val="en"/>
        </w:rPr>
      </w:pPr>
      <w:bookmarkStart w:id="1" w:name="_Hlk23418312"/>
      <w:r w:rsidRPr="00342EF5">
        <w:rPr>
          <w:rFonts w:eastAsia="Times New Roman" w:cstheme="minorHAnsi"/>
          <w:sz w:val="24"/>
          <w:szCs w:val="24"/>
          <w:lang w:val="en"/>
        </w:rPr>
        <w:t>The Food and Drug Administration (</w:t>
      </w:r>
      <w:r w:rsidR="00D1686B" w:rsidRPr="00342EF5">
        <w:rPr>
          <w:rFonts w:eastAsia="Times New Roman" w:cstheme="minorHAnsi"/>
          <w:sz w:val="24"/>
          <w:szCs w:val="24"/>
          <w:lang w:val="en"/>
        </w:rPr>
        <w:t>FDA)</w:t>
      </w:r>
      <w:r w:rsidRPr="00342EF5">
        <w:rPr>
          <w:rFonts w:eastAsia="Times New Roman" w:cstheme="minorHAnsi"/>
          <w:sz w:val="24"/>
          <w:szCs w:val="24"/>
          <w:lang w:val="en"/>
        </w:rPr>
        <w:t xml:space="preserve"> is the regulatory, scientific, public health and consumer protection agency responsible for ensuring all human and animal drugs, medical devices, cosmetics, foods, food additives, drugs and medicated feeds for food producing animals, tobacco and radiation emitting devices safe, and effective.</w:t>
      </w:r>
    </w:p>
    <w:p w14:paraId="48272C2B" w14:textId="21D63674" w:rsidR="007472F0" w:rsidRPr="00D1686B" w:rsidRDefault="007472F0" w:rsidP="0037421F">
      <w:pPr>
        <w:pStyle w:val="NoSpacing"/>
        <w:rPr>
          <w:rFonts w:eastAsia="Times New Roman" w:cstheme="minorHAnsi"/>
          <w:sz w:val="24"/>
          <w:szCs w:val="24"/>
          <w:lang w:val="en"/>
        </w:rPr>
      </w:pPr>
    </w:p>
    <w:p w14:paraId="6B63442B" w14:textId="1620E41C" w:rsidR="00A02006" w:rsidRDefault="00A02006" w:rsidP="00FC0566">
      <w:pPr>
        <w:tabs>
          <w:tab w:val="left" w:pos="0"/>
          <w:tab w:val="left" w:pos="360"/>
        </w:tabs>
        <w:spacing w:after="0" w:line="240" w:lineRule="auto"/>
        <w:rPr>
          <w:rFonts w:eastAsia="Times New Roman" w:cs="Calibri"/>
          <w:sz w:val="24"/>
          <w:szCs w:val="24"/>
          <w:lang w:val="en"/>
        </w:rPr>
      </w:pPr>
    </w:p>
    <w:p w14:paraId="5D2AC347" w14:textId="77777777" w:rsidR="00A02006" w:rsidRPr="00A02006" w:rsidRDefault="00A02006" w:rsidP="00A02006">
      <w:pPr>
        <w:tabs>
          <w:tab w:val="left" w:pos="0"/>
          <w:tab w:val="left" w:pos="360"/>
        </w:tabs>
        <w:spacing w:after="0" w:line="240" w:lineRule="auto"/>
        <w:rPr>
          <w:rFonts w:eastAsia="Times New Roman" w:cs="Calibri"/>
          <w:sz w:val="24"/>
          <w:szCs w:val="24"/>
          <w:lang w:val="en"/>
        </w:rPr>
      </w:pPr>
      <w:bookmarkStart w:id="2" w:name="_Hlk131762705"/>
      <w:r w:rsidRPr="00A02006">
        <w:rPr>
          <w:rFonts w:eastAsia="Times New Roman" w:cs="Calibri"/>
          <w:sz w:val="24"/>
          <w:szCs w:val="24"/>
          <w:lang w:val="en"/>
        </w:rPr>
        <w:t xml:space="preserve">The mission of the Center for Drug Evaluation and Research (CDER) is to perform an essential public health task by making sure that safe and effective drugs are available to improve the health of people in the United States. CDER regulates </w:t>
      </w:r>
      <w:proofErr w:type="gramStart"/>
      <w:r w:rsidRPr="00A02006">
        <w:rPr>
          <w:rFonts w:eastAsia="Times New Roman" w:cs="Calibri"/>
          <w:sz w:val="24"/>
          <w:szCs w:val="24"/>
          <w:lang w:val="en"/>
        </w:rPr>
        <w:t>over-the-counter</w:t>
      </w:r>
      <w:proofErr w:type="gramEnd"/>
      <w:r w:rsidRPr="00A02006">
        <w:rPr>
          <w:rFonts w:eastAsia="Times New Roman" w:cs="Calibri"/>
          <w:sz w:val="24"/>
          <w:szCs w:val="24"/>
          <w:lang w:val="en"/>
        </w:rPr>
        <w:t xml:space="preserve"> and prescription drugs, including biological therapeutics and generic drugs.</w:t>
      </w:r>
    </w:p>
    <w:bookmarkEnd w:id="2"/>
    <w:p w14:paraId="62D22A12" w14:textId="4FA1ECBF" w:rsidR="00F64FDC" w:rsidRPr="00A02006" w:rsidRDefault="00F64FDC" w:rsidP="00FC0566">
      <w:pPr>
        <w:tabs>
          <w:tab w:val="left" w:pos="0"/>
          <w:tab w:val="left" w:pos="360"/>
        </w:tabs>
        <w:spacing w:after="0" w:line="240" w:lineRule="auto"/>
        <w:rPr>
          <w:rFonts w:eastAsia="Times New Roman" w:cs="Calibri"/>
          <w:sz w:val="24"/>
          <w:szCs w:val="24"/>
          <w:lang w:val="en"/>
        </w:rPr>
      </w:pPr>
    </w:p>
    <w:p w14:paraId="3A199286" w14:textId="77777777" w:rsidR="00F64FDC" w:rsidRPr="00A02006" w:rsidRDefault="00F64FDC" w:rsidP="00F64FDC">
      <w:pPr>
        <w:pStyle w:val="NoSpacing"/>
        <w:rPr>
          <w:rFonts w:eastAsia="Times New Roman" w:cstheme="minorHAnsi"/>
          <w:sz w:val="24"/>
          <w:szCs w:val="24"/>
          <w:lang w:val="en"/>
        </w:rPr>
      </w:pPr>
      <w:bookmarkStart w:id="3" w:name="_Hlk126052271"/>
      <w:r w:rsidRPr="00A02006">
        <w:rPr>
          <w:rFonts w:eastAsia="Times New Roman" w:cstheme="minorHAnsi"/>
          <w:sz w:val="24"/>
          <w:szCs w:val="24"/>
          <w:lang w:val="en"/>
        </w:rPr>
        <w:t>The mission of the Office of Translational Sciences (OTS) is to empower a diverse, collaborative, and high performing workforce to champion innovation and advance global human drug development.</w:t>
      </w:r>
    </w:p>
    <w:bookmarkEnd w:id="3"/>
    <w:p w14:paraId="0CB6DA7C" w14:textId="77777777" w:rsidR="00FC0566" w:rsidRPr="00A02006" w:rsidRDefault="00FC0566" w:rsidP="00FC0566">
      <w:pPr>
        <w:tabs>
          <w:tab w:val="left" w:pos="0"/>
          <w:tab w:val="left" w:pos="360"/>
        </w:tabs>
        <w:spacing w:after="0" w:line="240" w:lineRule="auto"/>
        <w:rPr>
          <w:rFonts w:eastAsia="Times New Roman" w:cs="Calibri"/>
          <w:sz w:val="24"/>
          <w:szCs w:val="24"/>
          <w:lang w:val="en"/>
        </w:rPr>
      </w:pPr>
    </w:p>
    <w:p w14:paraId="27E2AD40" w14:textId="1ACE6A2A" w:rsidR="00F64FDC" w:rsidRDefault="00F64FDC" w:rsidP="00F64FDC">
      <w:pPr>
        <w:rPr>
          <w:sz w:val="24"/>
          <w:szCs w:val="24"/>
        </w:rPr>
      </w:pPr>
      <w:r w:rsidRPr="00A02006">
        <w:rPr>
          <w:sz w:val="24"/>
          <w:szCs w:val="24"/>
        </w:rPr>
        <w:t>The Office of Clinical Pharmacology (OCP) is a dynamic, purpose-driven organization dedicated to promoting and protecting global public health through the application of clinical pharmacology and translational medicine principles. OCP plays a pivotal role in advancing the development of innovative new medicines by applying state-of-the-art scientific principles. OCP promotes therapeutic optimization and individualization through best practices in research, policy development, and drug evaluation throughout the product lifecycle.</w:t>
      </w:r>
    </w:p>
    <w:p w14:paraId="7BCB9EED" w14:textId="5048A0F5" w:rsidR="00780550" w:rsidRPr="00A02006" w:rsidRDefault="00780550" w:rsidP="0EC5BE9E">
      <w:pPr>
        <w:rPr>
          <w:sz w:val="24"/>
          <w:szCs w:val="24"/>
        </w:rPr>
      </w:pPr>
    </w:p>
    <w:p w14:paraId="14A03F06" w14:textId="13B2F52D" w:rsidR="009B4514" w:rsidRDefault="00D831AB" w:rsidP="00630B55">
      <w:pPr>
        <w:pStyle w:val="Heading1"/>
        <w:rPr>
          <w:rFonts w:eastAsia="Times New Roman"/>
          <w:lang w:val="en"/>
        </w:rPr>
      </w:pPr>
      <w:bookmarkStart w:id="4" w:name="_Hlk141258872"/>
      <w:bookmarkEnd w:id="1"/>
      <w:r>
        <w:rPr>
          <w:rFonts w:eastAsia="Times New Roman"/>
          <w:lang w:val="en"/>
        </w:rPr>
        <w:t>Duties/Responsibilities</w:t>
      </w:r>
    </w:p>
    <w:bookmarkEnd w:id="4"/>
    <w:p w14:paraId="01B9B508" w14:textId="1B67D101" w:rsidR="00A02006" w:rsidRDefault="00A02006" w:rsidP="0EC5BE9E">
      <w:pPr>
        <w:autoSpaceDE w:val="0"/>
        <w:autoSpaceDN w:val="0"/>
        <w:adjustRightInd w:val="0"/>
        <w:spacing w:after="0" w:line="240" w:lineRule="auto"/>
        <w:rPr>
          <w:sz w:val="24"/>
          <w:szCs w:val="24"/>
        </w:rPr>
      </w:pPr>
      <w:r w:rsidRPr="0EC5BE9E">
        <w:rPr>
          <w:sz w:val="24"/>
          <w:szCs w:val="24"/>
        </w:rPr>
        <w:t>As the</w:t>
      </w:r>
      <w:r w:rsidR="00FC0566" w:rsidRPr="0EC5BE9E">
        <w:rPr>
          <w:sz w:val="24"/>
          <w:szCs w:val="24"/>
        </w:rPr>
        <w:t xml:space="preserve"> </w:t>
      </w:r>
      <w:r w:rsidR="00FC0566" w:rsidRPr="0EC5BE9E">
        <w:rPr>
          <w:b/>
          <w:bCs/>
          <w:sz w:val="24"/>
          <w:szCs w:val="24"/>
        </w:rPr>
        <w:t>Associate Director for Therapeutic Review</w:t>
      </w:r>
      <w:r w:rsidR="44191A89" w:rsidRPr="0EC5BE9E">
        <w:rPr>
          <w:b/>
          <w:bCs/>
          <w:sz w:val="24"/>
          <w:szCs w:val="24"/>
        </w:rPr>
        <w:t>,</w:t>
      </w:r>
      <w:r w:rsidR="00E158EE" w:rsidRPr="0EC5BE9E">
        <w:rPr>
          <w:sz w:val="24"/>
          <w:szCs w:val="24"/>
        </w:rPr>
        <w:t xml:space="preserve"> </w:t>
      </w:r>
      <w:r w:rsidR="00FF77B5" w:rsidRPr="0EC5BE9E">
        <w:rPr>
          <w:sz w:val="24"/>
          <w:szCs w:val="24"/>
        </w:rPr>
        <w:t xml:space="preserve">the incumbent </w:t>
      </w:r>
      <w:r w:rsidR="00FC0566" w:rsidRPr="0EC5BE9E">
        <w:rPr>
          <w:sz w:val="24"/>
          <w:szCs w:val="24"/>
        </w:rPr>
        <w:t xml:space="preserve">develops and implements policies and helps make critical decisions concerning approaches and options that are sound and feasible in relation to Office and Center goals and economic realities. </w:t>
      </w:r>
      <w:r w:rsidR="00FF77B5" w:rsidRPr="0EC5BE9E">
        <w:rPr>
          <w:sz w:val="24"/>
          <w:szCs w:val="24"/>
        </w:rPr>
        <w:t xml:space="preserve">In addition to, </w:t>
      </w:r>
      <w:r w:rsidR="00FC0566" w:rsidRPr="0EC5BE9E">
        <w:rPr>
          <w:sz w:val="24"/>
          <w:szCs w:val="24"/>
        </w:rPr>
        <w:t>stay</w:t>
      </w:r>
      <w:r w:rsidR="00FF77B5" w:rsidRPr="0EC5BE9E">
        <w:rPr>
          <w:sz w:val="24"/>
          <w:szCs w:val="24"/>
        </w:rPr>
        <w:t>ing</w:t>
      </w:r>
      <w:r w:rsidR="00FC0566" w:rsidRPr="0EC5BE9E">
        <w:rPr>
          <w:sz w:val="24"/>
          <w:szCs w:val="24"/>
        </w:rPr>
        <w:t xml:space="preserve"> apprised of implementation of new laws and regulations that impact the mission of the Office. </w:t>
      </w:r>
    </w:p>
    <w:p w14:paraId="1D812995" w14:textId="77777777" w:rsidR="00A02006" w:rsidRDefault="00A02006" w:rsidP="00FC0566">
      <w:pPr>
        <w:autoSpaceDE w:val="0"/>
        <w:autoSpaceDN w:val="0"/>
        <w:adjustRightInd w:val="0"/>
        <w:spacing w:after="0" w:line="240" w:lineRule="auto"/>
        <w:rPr>
          <w:rFonts w:cstheme="minorHAnsi"/>
          <w:sz w:val="24"/>
          <w:szCs w:val="24"/>
        </w:rPr>
      </w:pPr>
    </w:p>
    <w:p w14:paraId="5E9D643A" w14:textId="77777777" w:rsidR="00FF77B5" w:rsidRPr="00FF77B5" w:rsidRDefault="00A02006" w:rsidP="00FF77B5">
      <w:pPr>
        <w:pStyle w:val="ListParagraph"/>
        <w:numPr>
          <w:ilvl w:val="0"/>
          <w:numId w:val="41"/>
        </w:numPr>
        <w:autoSpaceDE w:val="0"/>
        <w:autoSpaceDN w:val="0"/>
        <w:adjustRightInd w:val="0"/>
        <w:rPr>
          <w:rFonts w:cstheme="minorHAnsi"/>
          <w:sz w:val="24"/>
          <w:szCs w:val="24"/>
        </w:rPr>
      </w:pPr>
      <w:r w:rsidRPr="00FF77B5">
        <w:rPr>
          <w:rFonts w:cstheme="minorHAnsi"/>
          <w:sz w:val="24"/>
          <w:szCs w:val="24"/>
        </w:rPr>
        <w:t>R</w:t>
      </w:r>
      <w:r w:rsidR="00FC0566" w:rsidRPr="00FF77B5">
        <w:rPr>
          <w:rFonts w:cstheme="minorHAnsi"/>
          <w:sz w:val="24"/>
          <w:szCs w:val="24"/>
        </w:rPr>
        <w:t>esponsib</w:t>
      </w:r>
      <w:r w:rsidRPr="00FF77B5">
        <w:rPr>
          <w:rFonts w:cstheme="minorHAnsi"/>
          <w:sz w:val="24"/>
          <w:szCs w:val="24"/>
        </w:rPr>
        <w:t>le</w:t>
      </w:r>
      <w:r w:rsidR="00FC0566" w:rsidRPr="00FF77B5">
        <w:rPr>
          <w:rFonts w:cstheme="minorHAnsi"/>
          <w:sz w:val="24"/>
          <w:szCs w:val="24"/>
        </w:rPr>
        <w:t xml:space="preserve"> for the initiation and implementation of new policies, systems, procedures, and organizational structures.</w:t>
      </w:r>
    </w:p>
    <w:p w14:paraId="47688AA2" w14:textId="77777777" w:rsidR="00FF77B5" w:rsidRPr="00FF77B5" w:rsidRDefault="00FC0566" w:rsidP="00FF77B5">
      <w:pPr>
        <w:pStyle w:val="ListParagraph"/>
        <w:numPr>
          <w:ilvl w:val="0"/>
          <w:numId w:val="41"/>
        </w:numPr>
        <w:autoSpaceDE w:val="0"/>
        <w:autoSpaceDN w:val="0"/>
        <w:adjustRightInd w:val="0"/>
        <w:rPr>
          <w:rFonts w:cstheme="minorHAnsi"/>
          <w:sz w:val="24"/>
          <w:szCs w:val="24"/>
        </w:rPr>
      </w:pPr>
      <w:r w:rsidRPr="00FF77B5">
        <w:rPr>
          <w:rFonts w:cstheme="minorHAnsi"/>
          <w:sz w:val="24"/>
          <w:szCs w:val="24"/>
        </w:rPr>
        <w:t>Addresses and solves unusual and often precedent-setting issues associated with the regulatory review.</w:t>
      </w:r>
    </w:p>
    <w:p w14:paraId="73F7F620" w14:textId="77777777" w:rsidR="00FF77B5" w:rsidRPr="00FF77B5" w:rsidRDefault="00FC0566" w:rsidP="00FF77B5">
      <w:pPr>
        <w:pStyle w:val="ListParagraph"/>
        <w:numPr>
          <w:ilvl w:val="0"/>
          <w:numId w:val="41"/>
        </w:numPr>
        <w:autoSpaceDE w:val="0"/>
        <w:autoSpaceDN w:val="0"/>
        <w:adjustRightInd w:val="0"/>
        <w:rPr>
          <w:rFonts w:cstheme="minorHAnsi"/>
          <w:sz w:val="24"/>
          <w:szCs w:val="24"/>
        </w:rPr>
      </w:pPr>
      <w:r w:rsidRPr="00FF77B5">
        <w:rPr>
          <w:rFonts w:cstheme="minorHAnsi"/>
          <w:sz w:val="24"/>
          <w:szCs w:val="24"/>
        </w:rPr>
        <w:t xml:space="preserve">Works closely with other OCP division directors and group leaders, OCP immediate office management, OND medical division leadership and leaders of other relevant offices to achieve team objectives. </w:t>
      </w:r>
    </w:p>
    <w:p w14:paraId="0472A9C5" w14:textId="77777777" w:rsidR="00FF77B5" w:rsidRPr="00FF77B5" w:rsidRDefault="00A02006" w:rsidP="00FF77B5">
      <w:pPr>
        <w:pStyle w:val="ListParagraph"/>
        <w:numPr>
          <w:ilvl w:val="0"/>
          <w:numId w:val="41"/>
        </w:numPr>
        <w:autoSpaceDE w:val="0"/>
        <w:autoSpaceDN w:val="0"/>
        <w:adjustRightInd w:val="0"/>
        <w:rPr>
          <w:rFonts w:cstheme="minorHAnsi"/>
          <w:sz w:val="24"/>
          <w:szCs w:val="24"/>
        </w:rPr>
      </w:pPr>
      <w:r w:rsidRPr="00FF77B5">
        <w:rPr>
          <w:rFonts w:cstheme="minorHAnsi"/>
          <w:sz w:val="24"/>
          <w:szCs w:val="24"/>
        </w:rPr>
        <w:t>C</w:t>
      </w:r>
      <w:r w:rsidR="00FC0566" w:rsidRPr="00FF77B5">
        <w:rPr>
          <w:rFonts w:cstheme="minorHAnsi"/>
          <w:sz w:val="24"/>
          <w:szCs w:val="24"/>
        </w:rPr>
        <w:t>ollaborates with other Divisional leadership to support the professional growth and development of scientific staff towards a goal of cultivating future OCP leadership and works with other Divisional leadership to provide opportunities for scientific staff to actively participate in cutting edge scientific and other meetings. Assures consistent personnel management by proactively identifying and managing underperformance and rewarding excellence.</w:t>
      </w:r>
      <w:r w:rsidR="00FC0566" w:rsidRPr="00FF77B5">
        <w:rPr>
          <w:sz w:val="24"/>
          <w:szCs w:val="24"/>
        </w:rPr>
        <w:t xml:space="preserve"> </w:t>
      </w:r>
    </w:p>
    <w:p w14:paraId="50B0CE35" w14:textId="77777777" w:rsidR="00FF77B5" w:rsidRPr="00FF77B5" w:rsidRDefault="00FC0566" w:rsidP="00FF77B5">
      <w:pPr>
        <w:pStyle w:val="ListParagraph"/>
        <w:numPr>
          <w:ilvl w:val="0"/>
          <w:numId w:val="41"/>
        </w:numPr>
        <w:autoSpaceDE w:val="0"/>
        <w:autoSpaceDN w:val="0"/>
        <w:adjustRightInd w:val="0"/>
        <w:rPr>
          <w:rFonts w:cstheme="minorHAnsi"/>
          <w:sz w:val="24"/>
          <w:szCs w:val="24"/>
        </w:rPr>
      </w:pPr>
      <w:r w:rsidRPr="00FF77B5">
        <w:rPr>
          <w:rFonts w:cstheme="minorHAnsi"/>
          <w:sz w:val="24"/>
          <w:szCs w:val="24"/>
        </w:rPr>
        <w:t>Evaluates work performances of subordinates as delegated by the Division Director.</w:t>
      </w:r>
    </w:p>
    <w:p w14:paraId="2FEDEA12" w14:textId="77777777" w:rsidR="00FF77B5" w:rsidRPr="00FF77B5" w:rsidRDefault="00A02006" w:rsidP="00FF77B5">
      <w:pPr>
        <w:pStyle w:val="ListParagraph"/>
        <w:numPr>
          <w:ilvl w:val="0"/>
          <w:numId w:val="41"/>
        </w:numPr>
        <w:autoSpaceDE w:val="0"/>
        <w:autoSpaceDN w:val="0"/>
        <w:adjustRightInd w:val="0"/>
        <w:rPr>
          <w:rFonts w:cstheme="minorHAnsi"/>
          <w:sz w:val="24"/>
          <w:szCs w:val="24"/>
        </w:rPr>
      </w:pPr>
      <w:r w:rsidRPr="00FF77B5">
        <w:rPr>
          <w:rFonts w:cstheme="minorHAnsi"/>
          <w:sz w:val="24"/>
          <w:szCs w:val="24"/>
        </w:rPr>
        <w:t>S</w:t>
      </w:r>
      <w:r w:rsidR="00FC0566" w:rsidRPr="00FF77B5">
        <w:rPr>
          <w:rFonts w:cstheme="minorHAnsi"/>
          <w:sz w:val="24"/>
          <w:szCs w:val="24"/>
        </w:rPr>
        <w:t xml:space="preserve">erves as an advisor to the Division Director and Division Deputy Director on scientific issues and is responsible for providing leadership and scientific direction to reviewers and ensures integration with other scientific staff (e.g., clinical reviewers, statisticians) engaged in the review and evaluation of regulatory submissions. </w:t>
      </w:r>
    </w:p>
    <w:p w14:paraId="12DE461E" w14:textId="77777777" w:rsidR="00FF77B5" w:rsidRPr="00FF77B5" w:rsidRDefault="00A02006" w:rsidP="00FF77B5">
      <w:pPr>
        <w:pStyle w:val="ListParagraph"/>
        <w:numPr>
          <w:ilvl w:val="0"/>
          <w:numId w:val="41"/>
        </w:numPr>
        <w:autoSpaceDE w:val="0"/>
        <w:autoSpaceDN w:val="0"/>
        <w:adjustRightInd w:val="0"/>
        <w:rPr>
          <w:rFonts w:cstheme="minorHAnsi"/>
          <w:sz w:val="24"/>
          <w:szCs w:val="24"/>
        </w:rPr>
      </w:pPr>
      <w:r w:rsidRPr="00FF77B5">
        <w:rPr>
          <w:rFonts w:cstheme="minorHAnsi"/>
          <w:sz w:val="24"/>
          <w:szCs w:val="24"/>
        </w:rPr>
        <w:t>P</w:t>
      </w:r>
      <w:r w:rsidR="00FC0566" w:rsidRPr="00FF77B5">
        <w:rPr>
          <w:rFonts w:cstheme="minorHAnsi"/>
          <w:sz w:val="24"/>
          <w:szCs w:val="24"/>
        </w:rPr>
        <w:t>articipate</w:t>
      </w:r>
      <w:r w:rsidRPr="00FF77B5">
        <w:rPr>
          <w:rFonts w:cstheme="minorHAnsi"/>
          <w:sz w:val="24"/>
          <w:szCs w:val="24"/>
        </w:rPr>
        <w:t>s</w:t>
      </w:r>
      <w:r w:rsidR="00FC0566" w:rsidRPr="00FF77B5">
        <w:rPr>
          <w:rFonts w:cstheme="minorHAnsi"/>
          <w:sz w:val="24"/>
          <w:szCs w:val="24"/>
        </w:rPr>
        <w:t xml:space="preserve"> fully with the Division Director in planning, organizing, overseeing, and directing all regulatory review operations, program segment(s), functions, and activities of the Division as carried out by team leaders and a highly trained staff of scientific professionals. </w:t>
      </w:r>
    </w:p>
    <w:p w14:paraId="1F96E591" w14:textId="77777777" w:rsidR="00FF77B5" w:rsidRPr="00FF77B5" w:rsidRDefault="00A02006" w:rsidP="00FF77B5">
      <w:pPr>
        <w:pStyle w:val="ListParagraph"/>
        <w:numPr>
          <w:ilvl w:val="0"/>
          <w:numId w:val="41"/>
        </w:numPr>
        <w:autoSpaceDE w:val="0"/>
        <w:autoSpaceDN w:val="0"/>
        <w:adjustRightInd w:val="0"/>
        <w:rPr>
          <w:rFonts w:cstheme="minorHAnsi"/>
          <w:sz w:val="24"/>
          <w:szCs w:val="24"/>
        </w:rPr>
      </w:pPr>
      <w:r w:rsidRPr="00FF77B5">
        <w:rPr>
          <w:rFonts w:cstheme="minorHAnsi"/>
          <w:sz w:val="24"/>
          <w:szCs w:val="24"/>
        </w:rPr>
        <w:t>Conducts t</w:t>
      </w:r>
      <w:r w:rsidR="00FC0566" w:rsidRPr="00FF77B5">
        <w:rPr>
          <w:rFonts w:cstheme="minorHAnsi"/>
          <w:sz w:val="24"/>
          <w:szCs w:val="24"/>
        </w:rPr>
        <w:t xml:space="preserve">ertiary review of IND and NDA/BLA applications by reviewers and team leaders, including pharmacokinetic and exposure-response analyses data analyses and interpretation of results, dose-selection decisions, trial design of new therapeutics, integration of clinical pharmacology, pharmacometrics, pharmacogenomics and clinical perspectives in the review. </w:t>
      </w:r>
      <w:r w:rsidRPr="00FF77B5">
        <w:rPr>
          <w:rFonts w:cstheme="minorHAnsi"/>
          <w:sz w:val="24"/>
          <w:szCs w:val="24"/>
        </w:rPr>
        <w:t>S</w:t>
      </w:r>
      <w:r w:rsidR="00FC0566" w:rsidRPr="00FF77B5">
        <w:rPr>
          <w:rFonts w:cstheme="minorHAnsi"/>
          <w:sz w:val="24"/>
          <w:szCs w:val="24"/>
        </w:rPr>
        <w:t>erves as the divisional expert in current review practices and will provide oversight of review issues to be addressed in INDs/NDAs/BLAs and development of standardized review templates and review policies for INDs/NDAs/BLAs.</w:t>
      </w:r>
    </w:p>
    <w:p w14:paraId="25B15652" w14:textId="77777777" w:rsidR="00FF77B5" w:rsidRPr="00FF77B5" w:rsidRDefault="00A02006" w:rsidP="00FF77B5">
      <w:pPr>
        <w:pStyle w:val="ListParagraph"/>
        <w:numPr>
          <w:ilvl w:val="0"/>
          <w:numId w:val="41"/>
        </w:numPr>
        <w:autoSpaceDE w:val="0"/>
        <w:autoSpaceDN w:val="0"/>
        <w:adjustRightInd w:val="0"/>
        <w:rPr>
          <w:rFonts w:cstheme="minorHAnsi"/>
          <w:sz w:val="24"/>
          <w:szCs w:val="24"/>
        </w:rPr>
      </w:pPr>
      <w:r w:rsidRPr="00FF77B5">
        <w:rPr>
          <w:rFonts w:cstheme="minorHAnsi"/>
          <w:sz w:val="24"/>
          <w:szCs w:val="24"/>
        </w:rPr>
        <w:t>I</w:t>
      </w:r>
      <w:r w:rsidR="00FC0566" w:rsidRPr="00FF77B5">
        <w:rPr>
          <w:rFonts w:cstheme="minorHAnsi"/>
          <w:sz w:val="24"/>
          <w:szCs w:val="24"/>
        </w:rPr>
        <w:t>nitiate</w:t>
      </w:r>
      <w:r w:rsidRPr="00FF77B5">
        <w:rPr>
          <w:rFonts w:cstheme="minorHAnsi"/>
          <w:sz w:val="24"/>
          <w:szCs w:val="24"/>
        </w:rPr>
        <w:t>s</w:t>
      </w:r>
      <w:r w:rsidR="00FC0566" w:rsidRPr="00FF77B5">
        <w:rPr>
          <w:rFonts w:cstheme="minorHAnsi"/>
          <w:sz w:val="24"/>
          <w:szCs w:val="24"/>
        </w:rPr>
        <w:t xml:space="preserve"> and maintain</w:t>
      </w:r>
      <w:r w:rsidRPr="00FF77B5">
        <w:rPr>
          <w:rFonts w:cstheme="minorHAnsi"/>
          <w:sz w:val="24"/>
          <w:szCs w:val="24"/>
        </w:rPr>
        <w:t>s</w:t>
      </w:r>
      <w:r w:rsidR="00FC0566" w:rsidRPr="00FF77B5">
        <w:rPr>
          <w:rFonts w:cstheme="minorHAnsi"/>
          <w:sz w:val="24"/>
          <w:szCs w:val="24"/>
        </w:rPr>
        <w:t xml:space="preserve"> active contact with the state of the science to identify, evaluate and implement (wherever possible) the most advanced and evolving regulatory science practices that impact application of clinical pharmacology and translational medicine to product review and evaluation.</w:t>
      </w:r>
    </w:p>
    <w:p w14:paraId="58C0C218" w14:textId="77777777" w:rsidR="00FF77B5" w:rsidRPr="00FF77B5" w:rsidRDefault="00A02006" w:rsidP="00FF77B5">
      <w:pPr>
        <w:pStyle w:val="ListParagraph"/>
        <w:numPr>
          <w:ilvl w:val="0"/>
          <w:numId w:val="41"/>
        </w:numPr>
        <w:autoSpaceDE w:val="0"/>
        <w:autoSpaceDN w:val="0"/>
        <w:adjustRightInd w:val="0"/>
        <w:rPr>
          <w:rFonts w:cstheme="minorHAnsi"/>
          <w:sz w:val="24"/>
          <w:szCs w:val="24"/>
        </w:rPr>
      </w:pPr>
      <w:r w:rsidRPr="00FF77B5">
        <w:rPr>
          <w:rFonts w:cstheme="minorHAnsi"/>
          <w:sz w:val="24"/>
          <w:szCs w:val="24"/>
        </w:rPr>
        <w:t>Collaborates with d</w:t>
      </w:r>
      <w:r w:rsidR="00FC0566" w:rsidRPr="00FF77B5">
        <w:rPr>
          <w:rFonts w:cstheme="minorHAnsi"/>
          <w:sz w:val="24"/>
          <w:szCs w:val="24"/>
        </w:rPr>
        <w:t xml:space="preserve">ivisional leadership, to </w:t>
      </w:r>
      <w:r w:rsidRPr="00FF77B5">
        <w:rPr>
          <w:rFonts w:cstheme="minorHAnsi"/>
          <w:sz w:val="24"/>
          <w:szCs w:val="24"/>
        </w:rPr>
        <w:t xml:space="preserve">help </w:t>
      </w:r>
      <w:r w:rsidR="00FC0566" w:rsidRPr="00FF77B5">
        <w:rPr>
          <w:rFonts w:cstheme="minorHAnsi"/>
          <w:sz w:val="24"/>
          <w:szCs w:val="24"/>
        </w:rPr>
        <w:t>develop and implement strategy in the relevant disease areas for their division through encouraging science and development activities, research and publications, and internal and external collaborations and consortia.</w:t>
      </w:r>
    </w:p>
    <w:p w14:paraId="76B29661" w14:textId="45DD6036" w:rsidR="00FC0566" w:rsidRPr="00FF77B5" w:rsidRDefault="00A02006" w:rsidP="00FF77B5">
      <w:pPr>
        <w:pStyle w:val="ListParagraph"/>
        <w:numPr>
          <w:ilvl w:val="0"/>
          <w:numId w:val="41"/>
        </w:numPr>
        <w:autoSpaceDE w:val="0"/>
        <w:autoSpaceDN w:val="0"/>
        <w:adjustRightInd w:val="0"/>
        <w:rPr>
          <w:rFonts w:cstheme="minorHAnsi"/>
          <w:sz w:val="24"/>
          <w:szCs w:val="24"/>
        </w:rPr>
      </w:pPr>
      <w:r w:rsidRPr="00FF77B5">
        <w:rPr>
          <w:rFonts w:cstheme="minorHAnsi"/>
          <w:sz w:val="24"/>
          <w:szCs w:val="24"/>
        </w:rPr>
        <w:t>S</w:t>
      </w:r>
      <w:r w:rsidR="00FC0566" w:rsidRPr="00FF77B5">
        <w:rPr>
          <w:rFonts w:cstheme="minorHAnsi"/>
          <w:sz w:val="24"/>
          <w:szCs w:val="24"/>
        </w:rPr>
        <w:t xml:space="preserve">upports decision-making processes and participates in discussions and decisions concerning Office and Center plans, programs, and activities, both in strategic planning and in the actual determination, allocation, and administration of Division programs, functions, and activities. </w:t>
      </w:r>
    </w:p>
    <w:p w14:paraId="601D1080" w14:textId="58769C60" w:rsidR="006752CD" w:rsidRDefault="006752CD" w:rsidP="00FC0566">
      <w:pPr>
        <w:spacing w:after="0" w:line="240" w:lineRule="auto"/>
        <w:rPr>
          <w:rFonts w:cstheme="minorHAnsi"/>
          <w:sz w:val="24"/>
          <w:szCs w:val="24"/>
        </w:rPr>
      </w:pPr>
    </w:p>
    <w:p w14:paraId="4CDE0757" w14:textId="7D913E0C" w:rsidR="003662E4" w:rsidRDefault="003662E4" w:rsidP="00630B55">
      <w:pPr>
        <w:pStyle w:val="Heading1"/>
      </w:pPr>
      <w:r>
        <w:t>Conditions of Employment</w:t>
      </w:r>
    </w:p>
    <w:p w14:paraId="7B02A90A" w14:textId="77777777" w:rsidR="003662E4" w:rsidRPr="00FF77B5" w:rsidRDefault="003662E4" w:rsidP="00630B55">
      <w:pPr>
        <w:pStyle w:val="NoSpacing"/>
        <w:numPr>
          <w:ilvl w:val="0"/>
          <w:numId w:val="27"/>
        </w:numPr>
        <w:rPr>
          <w:rFonts w:cstheme="minorHAnsi"/>
          <w:sz w:val="24"/>
          <w:szCs w:val="24"/>
        </w:rPr>
      </w:pPr>
      <w:r w:rsidRPr="00FF77B5">
        <w:rPr>
          <w:rFonts w:cstheme="minorHAnsi"/>
          <w:sz w:val="24"/>
          <w:szCs w:val="24"/>
        </w:rPr>
        <w:t>U.S. Citizenship requirement or proof of being a U.S. National must be met by closing date.</w:t>
      </w:r>
    </w:p>
    <w:p w14:paraId="301BD3C1" w14:textId="77777777" w:rsidR="003662E4" w:rsidRPr="00FF77B5" w:rsidRDefault="003662E4" w:rsidP="00630B55">
      <w:pPr>
        <w:pStyle w:val="NoSpacing"/>
        <w:numPr>
          <w:ilvl w:val="0"/>
          <w:numId w:val="27"/>
        </w:numPr>
        <w:rPr>
          <w:rFonts w:cstheme="minorHAnsi"/>
          <w:sz w:val="24"/>
          <w:szCs w:val="24"/>
        </w:rPr>
      </w:pPr>
      <w:r w:rsidRPr="00FF77B5">
        <w:rPr>
          <w:rFonts w:cstheme="minorHAnsi"/>
          <w:sz w:val="24"/>
          <w:szCs w:val="24"/>
        </w:rPr>
        <w:t>Employment is subject to the successful completion of a background investigation, verification of qualifications, completion of onboarding forms, submission of required documents, and any other job-related requirement before or after appointment.</w:t>
      </w:r>
    </w:p>
    <w:p w14:paraId="369754FA" w14:textId="422742DD" w:rsidR="003662E4" w:rsidRPr="00FF77B5" w:rsidRDefault="003662E4" w:rsidP="003662E4">
      <w:pPr>
        <w:pStyle w:val="NoSpacing"/>
        <w:numPr>
          <w:ilvl w:val="0"/>
          <w:numId w:val="27"/>
        </w:numPr>
        <w:rPr>
          <w:rFonts w:cstheme="minorHAnsi"/>
          <w:sz w:val="24"/>
          <w:szCs w:val="24"/>
        </w:rPr>
      </w:pPr>
      <w:r w:rsidRPr="00FF77B5">
        <w:rPr>
          <w:rFonts w:cstheme="minorHAnsi"/>
          <w:sz w:val="24"/>
          <w:szCs w:val="24"/>
        </w:rPr>
        <w:t>Applicants must meet all qualification requirements by the closing date of this announcement.</w:t>
      </w:r>
    </w:p>
    <w:p w14:paraId="773CFCE9" w14:textId="17414A64" w:rsidR="00D539A9" w:rsidRPr="00FF77B5" w:rsidRDefault="00D539A9" w:rsidP="003662E4">
      <w:pPr>
        <w:pStyle w:val="NoSpacing"/>
        <w:numPr>
          <w:ilvl w:val="0"/>
          <w:numId w:val="27"/>
        </w:numPr>
        <w:rPr>
          <w:rFonts w:cstheme="minorHAnsi"/>
          <w:sz w:val="24"/>
          <w:szCs w:val="24"/>
        </w:rPr>
      </w:pPr>
      <w:r w:rsidRPr="00FF77B5">
        <w:rPr>
          <w:rFonts w:cstheme="minorHAnsi"/>
          <w:sz w:val="24"/>
          <w:szCs w:val="24"/>
        </w:rPr>
        <w:t>Direct Deposit: You will be required to have all federal salary payments electronically deposited into a bank account with a financial institution of your choice.</w:t>
      </w:r>
    </w:p>
    <w:p w14:paraId="3ECF92DA" w14:textId="74312201" w:rsidR="00D539A9" w:rsidRPr="00FF77B5" w:rsidRDefault="00D539A9" w:rsidP="00630B55">
      <w:pPr>
        <w:pStyle w:val="NoSpacing"/>
        <w:numPr>
          <w:ilvl w:val="0"/>
          <w:numId w:val="27"/>
        </w:numPr>
        <w:rPr>
          <w:rFonts w:cstheme="minorHAnsi"/>
          <w:sz w:val="24"/>
          <w:szCs w:val="24"/>
        </w:rPr>
      </w:pPr>
      <w:r w:rsidRPr="00FF77B5">
        <w:rPr>
          <w:rFonts w:cstheme="minorHAnsi"/>
          <w:sz w:val="24"/>
          <w:szCs w:val="24"/>
        </w:rPr>
        <w:t>FDA participates in e-Verify: All new hires must complete the I-9 form; this information will be processed through e-Verify to determine your employment eligibility. If a discrepancy arises, you must take affirmative steps to resolve the matter.</w:t>
      </w:r>
    </w:p>
    <w:p w14:paraId="66A3C7B2" w14:textId="6CEFCA3B" w:rsidR="003662E4" w:rsidRPr="00FF77B5" w:rsidRDefault="003662E4" w:rsidP="003662E4">
      <w:pPr>
        <w:pStyle w:val="NoSpacing"/>
        <w:numPr>
          <w:ilvl w:val="0"/>
          <w:numId w:val="27"/>
        </w:numPr>
        <w:rPr>
          <w:rFonts w:cstheme="minorHAnsi"/>
          <w:sz w:val="24"/>
          <w:szCs w:val="24"/>
        </w:rPr>
      </w:pPr>
      <w:r w:rsidRPr="00FF77B5">
        <w:rPr>
          <w:rFonts w:cstheme="minorHAnsi"/>
          <w:sz w:val="24"/>
          <w:szCs w:val="24"/>
        </w:rPr>
        <w:t xml:space="preserve">Males born after December 31, </w:t>
      </w:r>
      <w:r w:rsidR="00342EF5" w:rsidRPr="00FF77B5">
        <w:rPr>
          <w:rFonts w:cstheme="minorHAnsi"/>
          <w:sz w:val="24"/>
          <w:szCs w:val="24"/>
        </w:rPr>
        <w:t>1959,</w:t>
      </w:r>
      <w:r w:rsidRPr="00FF77B5">
        <w:rPr>
          <w:rFonts w:cstheme="minorHAnsi"/>
          <w:sz w:val="24"/>
          <w:szCs w:val="24"/>
        </w:rPr>
        <w:t xml:space="preserve"> must be registered with the Selective Service.</w:t>
      </w:r>
    </w:p>
    <w:p w14:paraId="1C08107F" w14:textId="60733C47" w:rsidR="00E24171" w:rsidRPr="00FF77B5" w:rsidRDefault="00342EF5" w:rsidP="00630B55">
      <w:pPr>
        <w:pStyle w:val="NoSpacing"/>
        <w:numPr>
          <w:ilvl w:val="0"/>
          <w:numId w:val="27"/>
        </w:numPr>
        <w:rPr>
          <w:rFonts w:cstheme="minorHAnsi"/>
          <w:sz w:val="24"/>
          <w:szCs w:val="24"/>
        </w:rPr>
      </w:pPr>
      <w:r w:rsidRPr="00FF77B5">
        <w:rPr>
          <w:rFonts w:cstheme="minorHAnsi"/>
          <w:sz w:val="24"/>
          <w:szCs w:val="24"/>
        </w:rPr>
        <w:t>One-year</w:t>
      </w:r>
      <w:r w:rsidR="00E24171" w:rsidRPr="00FF77B5">
        <w:rPr>
          <w:rFonts w:cstheme="minorHAnsi"/>
          <w:sz w:val="24"/>
          <w:szCs w:val="24"/>
        </w:rPr>
        <w:t xml:space="preserve"> probationary period may be required. </w:t>
      </w:r>
    </w:p>
    <w:p w14:paraId="6C41F8F7" w14:textId="3342B11F" w:rsidR="003662E4" w:rsidRPr="00FF77B5" w:rsidRDefault="003662E4" w:rsidP="003662E4">
      <w:pPr>
        <w:pStyle w:val="NoSpacing"/>
        <w:numPr>
          <w:ilvl w:val="0"/>
          <w:numId w:val="27"/>
        </w:numPr>
        <w:rPr>
          <w:rFonts w:cstheme="minorHAnsi"/>
          <w:sz w:val="24"/>
          <w:szCs w:val="24"/>
        </w:rPr>
      </w:pPr>
      <w:r w:rsidRPr="00FF77B5">
        <w:rPr>
          <w:rFonts w:cstheme="minorHAnsi"/>
          <w:sz w:val="24"/>
          <w:szCs w:val="24"/>
        </w:rPr>
        <w:t>Financial Disclosure may be required.</w:t>
      </w:r>
    </w:p>
    <w:p w14:paraId="2091CB5B" w14:textId="32DC077F" w:rsidR="003662E4" w:rsidRPr="00FF77B5" w:rsidRDefault="003662E4" w:rsidP="00630B55">
      <w:pPr>
        <w:pStyle w:val="NoSpacing"/>
        <w:numPr>
          <w:ilvl w:val="0"/>
          <w:numId w:val="27"/>
        </w:numPr>
        <w:rPr>
          <w:rFonts w:cstheme="minorHAnsi"/>
          <w:sz w:val="24"/>
          <w:szCs w:val="24"/>
        </w:rPr>
      </w:pPr>
      <w:r w:rsidRPr="00FF77B5">
        <w:rPr>
          <w:rFonts w:cstheme="minorHAnsi"/>
          <w:sz w:val="24"/>
          <w:szCs w:val="24"/>
        </w:rPr>
        <w:t xml:space="preserve">Ethics Clearance may be required. </w:t>
      </w:r>
    </w:p>
    <w:p w14:paraId="4F8F713C" w14:textId="1FB25573" w:rsidR="00F23440" w:rsidRPr="00FF77B5" w:rsidRDefault="00D539A9" w:rsidP="00D55949">
      <w:pPr>
        <w:pStyle w:val="NoSpacing"/>
        <w:numPr>
          <w:ilvl w:val="0"/>
          <w:numId w:val="27"/>
        </w:numPr>
        <w:rPr>
          <w:rFonts w:eastAsia="Times New Roman" w:cstheme="minorHAnsi"/>
          <w:i/>
          <w:sz w:val="24"/>
          <w:szCs w:val="24"/>
        </w:rPr>
      </w:pPr>
      <w:r w:rsidRPr="00FF77B5">
        <w:rPr>
          <w:rFonts w:cstheme="minorHAnsi"/>
          <w:sz w:val="24"/>
          <w:szCs w:val="24"/>
        </w:rPr>
        <w:t>Background Investigation/</w:t>
      </w:r>
      <w:r w:rsidR="003662E4" w:rsidRPr="00FF77B5">
        <w:rPr>
          <w:rFonts w:cstheme="minorHAnsi"/>
          <w:sz w:val="24"/>
          <w:szCs w:val="24"/>
        </w:rPr>
        <w:t>Security Clearance</w:t>
      </w:r>
      <w:r w:rsidR="00BB11BC" w:rsidRPr="00FF77B5">
        <w:rPr>
          <w:rFonts w:cstheme="minorHAnsi"/>
          <w:sz w:val="24"/>
          <w:szCs w:val="24"/>
        </w:rPr>
        <w:t xml:space="preserve"> is required.</w:t>
      </w:r>
      <w:r w:rsidR="003662E4" w:rsidRPr="00FF77B5">
        <w:rPr>
          <w:rFonts w:cstheme="minorHAnsi"/>
          <w:sz w:val="24"/>
          <w:szCs w:val="24"/>
        </w:rPr>
        <w:t xml:space="preserve"> </w:t>
      </w:r>
      <w:r w:rsidRPr="00FF77B5">
        <w:rPr>
          <w:rFonts w:cstheme="minorHAnsi"/>
          <w:sz w:val="24"/>
          <w:szCs w:val="24"/>
        </w:rPr>
        <w:t xml:space="preserve">All employees must pass a security investigation. Failing to pass the background check may be grounds for removal or legal action. If hired, you may be subject to additional investigations </w:t>
      </w:r>
      <w:proofErr w:type="gramStart"/>
      <w:r w:rsidRPr="00FF77B5">
        <w:rPr>
          <w:rFonts w:cstheme="minorHAnsi"/>
          <w:sz w:val="24"/>
          <w:szCs w:val="24"/>
        </w:rPr>
        <w:t>at a later time</w:t>
      </w:r>
      <w:proofErr w:type="gramEnd"/>
      <w:r w:rsidRPr="00FF77B5">
        <w:rPr>
          <w:rFonts w:cstheme="minorHAnsi"/>
          <w:sz w:val="24"/>
          <w:szCs w:val="24"/>
        </w:rPr>
        <w:t xml:space="preserve">. </w:t>
      </w:r>
    </w:p>
    <w:p w14:paraId="1B1B0DAF" w14:textId="71339B9C" w:rsidR="00BB11BC" w:rsidRDefault="00BB11BC" w:rsidP="00BB11BC">
      <w:pPr>
        <w:pStyle w:val="Heading1"/>
        <w:rPr>
          <w:rFonts w:eastAsia="Times New Roman"/>
        </w:rPr>
      </w:pPr>
      <w:r>
        <w:rPr>
          <w:rFonts w:eastAsia="Times New Roman"/>
        </w:rPr>
        <w:t>Qualifications</w:t>
      </w:r>
    </w:p>
    <w:p w14:paraId="765BCD9C" w14:textId="77777777" w:rsidR="00816010" w:rsidRPr="00FF77B5" w:rsidRDefault="00816010" w:rsidP="00816010">
      <w:pPr>
        <w:rPr>
          <w:sz w:val="24"/>
          <w:szCs w:val="24"/>
        </w:rPr>
      </w:pPr>
      <w:r w:rsidRPr="00FF77B5">
        <w:rPr>
          <w:sz w:val="24"/>
          <w:szCs w:val="24"/>
        </w:rPr>
        <w:t>To be placed into a Cures position, candidates must meet the following criteria:</w:t>
      </w:r>
    </w:p>
    <w:p w14:paraId="3AEBCFD6" w14:textId="77777777" w:rsidR="00816010" w:rsidRPr="00FF77B5" w:rsidRDefault="00816010" w:rsidP="00816010">
      <w:pPr>
        <w:pStyle w:val="ListParagraph"/>
        <w:numPr>
          <w:ilvl w:val="0"/>
          <w:numId w:val="29"/>
        </w:numPr>
        <w:rPr>
          <w:sz w:val="24"/>
          <w:szCs w:val="24"/>
        </w:rPr>
      </w:pPr>
      <w:r w:rsidRPr="00FF77B5">
        <w:rPr>
          <w:sz w:val="24"/>
          <w:szCs w:val="24"/>
        </w:rPr>
        <w:t>Scientific, Technical, and Professional Fields</w:t>
      </w:r>
      <w:bookmarkStart w:id="5" w:name="_Hlk47532536"/>
    </w:p>
    <w:bookmarkEnd w:id="5"/>
    <w:p w14:paraId="03910975" w14:textId="77777777" w:rsidR="00816010" w:rsidRPr="00FF77B5" w:rsidRDefault="00816010" w:rsidP="00816010">
      <w:pPr>
        <w:pStyle w:val="ListNumber2"/>
        <w:numPr>
          <w:ilvl w:val="0"/>
          <w:numId w:val="29"/>
        </w:numPr>
        <w:rPr>
          <w:sz w:val="24"/>
          <w:szCs w:val="24"/>
        </w:rPr>
      </w:pPr>
      <w:r w:rsidRPr="00FF77B5">
        <w:rPr>
          <w:sz w:val="24"/>
          <w:szCs w:val="24"/>
        </w:rPr>
        <w:t>Qualified and Outstanding Candidates</w:t>
      </w:r>
    </w:p>
    <w:p w14:paraId="6E247045" w14:textId="77777777" w:rsidR="00816010" w:rsidRPr="00FF77B5" w:rsidRDefault="00816010" w:rsidP="00816010">
      <w:pPr>
        <w:pStyle w:val="ListNumber3"/>
        <w:numPr>
          <w:ilvl w:val="1"/>
          <w:numId w:val="29"/>
        </w:numPr>
        <w:rPr>
          <w:sz w:val="24"/>
          <w:szCs w:val="24"/>
        </w:rPr>
      </w:pPr>
      <w:r w:rsidRPr="00FF77B5">
        <w:rPr>
          <w:b/>
          <w:i/>
          <w:sz w:val="24"/>
          <w:szCs w:val="24"/>
        </w:rPr>
        <w:t>Qualified</w:t>
      </w:r>
      <w:r w:rsidRPr="00FF77B5">
        <w:rPr>
          <w:sz w:val="24"/>
          <w:szCs w:val="24"/>
        </w:rPr>
        <w:t xml:space="preserve"> applies to all candidates for Cures appointments. The FDA OTS will use the basic requirements defined in the </w:t>
      </w:r>
      <w:hyperlink r:id="rId12" w:history="1">
        <w:r w:rsidRPr="00FF77B5">
          <w:rPr>
            <w:rStyle w:val="Hyperlink"/>
            <w:sz w:val="24"/>
            <w:szCs w:val="24"/>
          </w:rPr>
          <w:t>OPM Qualification Standards</w:t>
        </w:r>
      </w:hyperlink>
      <w:r w:rsidRPr="00FF77B5">
        <w:rPr>
          <w:sz w:val="24"/>
          <w:szCs w:val="24"/>
        </w:rPr>
        <w:t xml:space="preserve"> as a baseline for comparing experience levels and other candidate attributes for relevant positions.</w:t>
      </w:r>
    </w:p>
    <w:p w14:paraId="06F3EBB3" w14:textId="77777777" w:rsidR="00816010" w:rsidRPr="00FF77B5" w:rsidRDefault="00816010" w:rsidP="00816010">
      <w:pPr>
        <w:pStyle w:val="ListNumber3"/>
        <w:numPr>
          <w:ilvl w:val="1"/>
          <w:numId w:val="29"/>
        </w:numPr>
        <w:rPr>
          <w:sz w:val="24"/>
          <w:szCs w:val="24"/>
        </w:rPr>
      </w:pPr>
      <w:r w:rsidRPr="00FF77B5">
        <w:rPr>
          <w:b/>
          <w:i/>
          <w:sz w:val="24"/>
          <w:szCs w:val="24"/>
        </w:rPr>
        <w:t>Outstanding</w:t>
      </w:r>
      <w:r w:rsidRPr="00FF77B5">
        <w:rPr>
          <w:sz w:val="24"/>
          <w:szCs w:val="24"/>
        </w:rPr>
        <w:t xml:space="preserve"> candidates can be defined by existing outstanding work experience, outstanding performance rating, or both.</w:t>
      </w:r>
    </w:p>
    <w:p w14:paraId="6454F651" w14:textId="77777777" w:rsidR="00816010" w:rsidRPr="00FF77B5" w:rsidRDefault="00816010" w:rsidP="00D62813">
      <w:pPr>
        <w:pStyle w:val="NoSpacing"/>
        <w:rPr>
          <w:sz w:val="24"/>
          <w:szCs w:val="24"/>
        </w:rPr>
      </w:pPr>
    </w:p>
    <w:p w14:paraId="63E5AD1A" w14:textId="5EA03E3A" w:rsidR="00D62813" w:rsidRPr="00FF77B5" w:rsidRDefault="00780550" w:rsidP="00D62813">
      <w:pPr>
        <w:pStyle w:val="NoSpacing"/>
        <w:rPr>
          <w:i/>
          <w:sz w:val="24"/>
          <w:szCs w:val="24"/>
        </w:rPr>
      </w:pPr>
      <w:r>
        <w:rPr>
          <w:sz w:val="24"/>
          <w:szCs w:val="24"/>
        </w:rPr>
        <w:t>T</w:t>
      </w:r>
      <w:r w:rsidR="00D62813" w:rsidRPr="00FF77B5">
        <w:rPr>
          <w:sz w:val="24"/>
          <w:szCs w:val="24"/>
        </w:rPr>
        <w:t xml:space="preserve">o qualify for this Title 21 Cures position, the candidate(s) must meet the following </w:t>
      </w:r>
      <w:r w:rsidR="00D62813" w:rsidRPr="00FF77B5">
        <w:rPr>
          <w:b/>
          <w:sz w:val="24"/>
          <w:szCs w:val="24"/>
          <w:u w:val="single"/>
        </w:rPr>
        <w:t>required</w:t>
      </w:r>
      <w:r w:rsidR="00D62813" w:rsidRPr="00FF77B5">
        <w:rPr>
          <w:sz w:val="24"/>
          <w:szCs w:val="24"/>
        </w:rPr>
        <w:t xml:space="preserve"> qualifications. </w:t>
      </w:r>
      <w:r w:rsidR="00FB5CF5" w:rsidRPr="00FF77B5">
        <w:rPr>
          <w:i/>
          <w:sz w:val="24"/>
          <w:szCs w:val="24"/>
        </w:rPr>
        <w:t xml:space="preserve">Please note: </w:t>
      </w:r>
      <w:r w:rsidR="00867834" w:rsidRPr="00FF77B5">
        <w:rPr>
          <w:i/>
          <w:sz w:val="24"/>
          <w:szCs w:val="24"/>
        </w:rPr>
        <w:t>A</w:t>
      </w:r>
      <w:r w:rsidR="00D62813" w:rsidRPr="00FF77B5">
        <w:rPr>
          <w:i/>
          <w:sz w:val="24"/>
          <w:szCs w:val="24"/>
        </w:rPr>
        <w:t xml:space="preserve">dditional education and experience listed that is not indicated as </w:t>
      </w:r>
      <w:r w:rsidR="00D62813" w:rsidRPr="00FF77B5">
        <w:rPr>
          <w:i/>
          <w:sz w:val="24"/>
          <w:szCs w:val="24"/>
          <w:u w:val="single"/>
        </w:rPr>
        <w:t>required</w:t>
      </w:r>
      <w:r w:rsidR="00D62813" w:rsidRPr="00FF77B5">
        <w:rPr>
          <w:i/>
          <w:sz w:val="24"/>
          <w:szCs w:val="24"/>
        </w:rPr>
        <w:t xml:space="preserve"> is preferable and desired. Candidates who do not meet the “desired” criteria will </w:t>
      </w:r>
      <w:r w:rsidR="00D62813" w:rsidRPr="00FF77B5">
        <w:rPr>
          <w:i/>
          <w:sz w:val="24"/>
          <w:szCs w:val="24"/>
          <w:u w:val="single"/>
        </w:rPr>
        <w:t>not</w:t>
      </w:r>
      <w:r w:rsidR="00D62813" w:rsidRPr="00FF77B5">
        <w:rPr>
          <w:i/>
          <w:sz w:val="24"/>
          <w:szCs w:val="24"/>
        </w:rPr>
        <w:t xml:space="preserve"> be excluded from consideration</w:t>
      </w:r>
      <w:r w:rsidR="00FB5CF5" w:rsidRPr="00FF77B5">
        <w:rPr>
          <w:i/>
          <w:sz w:val="24"/>
          <w:szCs w:val="24"/>
        </w:rPr>
        <w:t xml:space="preserve"> for this position</w:t>
      </w:r>
      <w:r w:rsidR="00D62813" w:rsidRPr="00FF77B5">
        <w:rPr>
          <w:i/>
          <w:sz w:val="24"/>
          <w:szCs w:val="24"/>
        </w:rPr>
        <w:t>.</w:t>
      </w:r>
    </w:p>
    <w:p w14:paraId="5889CAD8" w14:textId="77777777" w:rsidR="00D62813" w:rsidRPr="00FF77B5" w:rsidRDefault="00D62813" w:rsidP="00630B55">
      <w:pPr>
        <w:pStyle w:val="NoSpacing"/>
        <w:rPr>
          <w:sz w:val="24"/>
          <w:szCs w:val="24"/>
        </w:rPr>
      </w:pPr>
    </w:p>
    <w:p w14:paraId="100DCBA3" w14:textId="2CA1FE08" w:rsidR="001871F7" w:rsidRPr="00342EF5" w:rsidRDefault="004D58C3" w:rsidP="004D58C3">
      <w:pPr>
        <w:pStyle w:val="NoSpacing"/>
        <w:rPr>
          <w:rFonts w:cstheme="minorHAnsi"/>
          <w:sz w:val="24"/>
          <w:szCs w:val="24"/>
          <w:u w:val="single"/>
          <w:lang w:val="en"/>
        </w:rPr>
      </w:pPr>
      <w:r w:rsidRPr="00342EF5">
        <w:rPr>
          <w:rFonts w:cstheme="minorHAnsi"/>
          <w:b/>
          <w:sz w:val="24"/>
          <w:szCs w:val="24"/>
          <w:u w:val="single"/>
          <w:lang w:val="en"/>
        </w:rPr>
        <w:t>Education Requirement:</w:t>
      </w:r>
      <w:r w:rsidRPr="00342EF5">
        <w:rPr>
          <w:rFonts w:cstheme="minorHAnsi"/>
          <w:sz w:val="24"/>
          <w:szCs w:val="24"/>
          <w:u w:val="single"/>
          <w:lang w:val="en"/>
        </w:rPr>
        <w:t xml:space="preserve"> </w:t>
      </w:r>
    </w:p>
    <w:p w14:paraId="11EF1EF9" w14:textId="2A068AA2" w:rsidR="001871F7" w:rsidRDefault="00296C66" w:rsidP="001871F7">
      <w:pPr>
        <w:pStyle w:val="NoSpacing"/>
        <w:rPr>
          <w:rStyle w:val="Hyperlink"/>
          <w:rFonts w:cstheme="minorHAnsi"/>
          <w:sz w:val="24"/>
          <w:szCs w:val="24"/>
          <w:lang w:val="en"/>
        </w:rPr>
      </w:pPr>
      <w:hyperlink r:id="rId13" w:history="1">
        <w:r w:rsidR="00FF77B5">
          <w:rPr>
            <w:rStyle w:val="Hyperlink"/>
            <w:rFonts w:cstheme="minorHAnsi"/>
            <w:sz w:val="24"/>
            <w:szCs w:val="24"/>
            <w:lang w:val="en"/>
          </w:rPr>
          <w:t>Biological Sciences, AD-0401 Series</w:t>
        </w:r>
      </w:hyperlink>
    </w:p>
    <w:p w14:paraId="5801410B" w14:textId="432914D1" w:rsidR="00D1686B" w:rsidRDefault="00D1686B" w:rsidP="001871F7">
      <w:pPr>
        <w:pStyle w:val="NoSpacing"/>
        <w:rPr>
          <w:rStyle w:val="Hyperlink"/>
          <w:rFonts w:cstheme="minorHAnsi"/>
          <w:sz w:val="24"/>
          <w:szCs w:val="24"/>
          <w:lang w:val="en"/>
        </w:rPr>
      </w:pPr>
    </w:p>
    <w:p w14:paraId="5D22D659" w14:textId="2CD4B35C" w:rsidR="004D58C3" w:rsidRDefault="00D1686B" w:rsidP="004D58C3">
      <w:pPr>
        <w:pStyle w:val="NoSpacing"/>
        <w:rPr>
          <w:rFonts w:cstheme="minorHAnsi"/>
          <w:color w:val="FF0000"/>
          <w:sz w:val="24"/>
          <w:szCs w:val="24"/>
          <w:lang w:val="en"/>
        </w:rPr>
      </w:pPr>
      <w:bookmarkStart w:id="6" w:name="_Hlk128732093"/>
      <w:r w:rsidRPr="00D1686B">
        <w:rPr>
          <w:rFonts w:cstheme="minorHAnsi"/>
          <w:sz w:val="24"/>
          <w:szCs w:val="24"/>
          <w:lang w:val="en"/>
        </w:rPr>
        <w:t xml:space="preserve">For more information, please see: </w:t>
      </w:r>
      <w:hyperlink r:id="rId14" w:anchor="url=List-by-Occupational-Series" w:history="1">
        <w:r w:rsidRPr="00D1686B">
          <w:rPr>
            <w:rStyle w:val="Hyperlink"/>
            <w:rFonts w:cstheme="minorHAnsi"/>
            <w:sz w:val="24"/>
            <w:szCs w:val="24"/>
            <w:lang w:val="en"/>
          </w:rPr>
          <w:t>OPM Occupational Series Qualification Requirements</w:t>
        </w:r>
      </w:hyperlink>
      <w:r w:rsidRPr="00D1686B">
        <w:rPr>
          <w:rStyle w:val="Hyperlink"/>
          <w:rFonts w:cstheme="minorHAnsi"/>
          <w:sz w:val="24"/>
          <w:szCs w:val="24"/>
          <w:lang w:val="en"/>
        </w:rPr>
        <w:t>.</w:t>
      </w:r>
      <w:bookmarkEnd w:id="6"/>
    </w:p>
    <w:p w14:paraId="76F1A5E9" w14:textId="77777777" w:rsidR="00D1686B" w:rsidRPr="00D1686B" w:rsidRDefault="00D1686B" w:rsidP="004D58C3">
      <w:pPr>
        <w:pStyle w:val="NoSpacing"/>
        <w:rPr>
          <w:rFonts w:cstheme="minorHAnsi"/>
          <w:color w:val="FF0000"/>
          <w:sz w:val="24"/>
          <w:szCs w:val="24"/>
          <w:lang w:val="en"/>
        </w:rPr>
      </w:pPr>
    </w:p>
    <w:p w14:paraId="6056132E" w14:textId="05193D72" w:rsidR="00BB11BC" w:rsidRPr="00FF77B5" w:rsidRDefault="005643E5" w:rsidP="00BB11BC">
      <w:pPr>
        <w:pStyle w:val="NoSpacing"/>
        <w:rPr>
          <w:rFonts w:cstheme="minorHAnsi"/>
          <w:b/>
          <w:sz w:val="24"/>
          <w:szCs w:val="24"/>
          <w:u w:val="single"/>
          <w:lang w:val="en"/>
        </w:rPr>
      </w:pPr>
      <w:r w:rsidRPr="00FF77B5">
        <w:rPr>
          <w:rFonts w:cstheme="minorHAnsi"/>
          <w:b/>
          <w:sz w:val="24"/>
          <w:szCs w:val="24"/>
          <w:u w:val="single"/>
          <w:lang w:val="en"/>
        </w:rPr>
        <w:t>Professional Experience:</w:t>
      </w:r>
      <w:r w:rsidR="00D62813" w:rsidRPr="00FF77B5">
        <w:rPr>
          <w:rFonts w:cstheme="minorHAnsi"/>
          <w:b/>
          <w:sz w:val="24"/>
          <w:szCs w:val="24"/>
          <w:u w:val="single"/>
          <w:lang w:val="en"/>
        </w:rPr>
        <w:t xml:space="preserve"> </w:t>
      </w:r>
    </w:p>
    <w:p w14:paraId="2EC968AF" w14:textId="6A8CCBD3" w:rsidR="0076213B" w:rsidRPr="00FF77B5" w:rsidRDefault="00FF77B5" w:rsidP="0076213B">
      <w:pPr>
        <w:tabs>
          <w:tab w:val="left" w:pos="1212"/>
        </w:tabs>
        <w:rPr>
          <w:bCs/>
          <w:sz w:val="24"/>
          <w:szCs w:val="24"/>
        </w:rPr>
      </w:pPr>
      <w:r>
        <w:rPr>
          <w:bCs/>
          <w:sz w:val="24"/>
          <w:szCs w:val="24"/>
        </w:rPr>
        <w:t xml:space="preserve">Our ideal candidate will possess: </w:t>
      </w:r>
    </w:p>
    <w:p w14:paraId="00F4A3AE" w14:textId="18D1B889" w:rsidR="00333680" w:rsidRPr="00FF77B5" w:rsidRDefault="00333680" w:rsidP="00333680">
      <w:pPr>
        <w:pStyle w:val="NoSpacing"/>
        <w:numPr>
          <w:ilvl w:val="0"/>
          <w:numId w:val="33"/>
        </w:numPr>
        <w:rPr>
          <w:rFonts w:cstheme="minorHAnsi"/>
          <w:sz w:val="24"/>
          <w:szCs w:val="24"/>
        </w:rPr>
      </w:pPr>
      <w:r w:rsidRPr="00FF77B5">
        <w:rPr>
          <w:rFonts w:cstheme="minorHAnsi"/>
          <w:sz w:val="24"/>
          <w:szCs w:val="24"/>
        </w:rPr>
        <w:t>Experience in applying knowledge if a major therapeutic area and/or related areas to assess, analyze or evaluate study designs, data, or conclusions, submitted by sponsors of pharmacology or biopharmaceutics submissions associated with IND, NDAs, BLAs, and ANDAs to support marketing of a drug.</w:t>
      </w:r>
    </w:p>
    <w:p w14:paraId="40A11784" w14:textId="36744EA5" w:rsidR="00333680" w:rsidRPr="00FF77B5" w:rsidRDefault="00333680" w:rsidP="00333680">
      <w:pPr>
        <w:pStyle w:val="NoSpacing"/>
        <w:numPr>
          <w:ilvl w:val="0"/>
          <w:numId w:val="33"/>
        </w:numPr>
        <w:rPr>
          <w:rFonts w:cstheme="minorHAnsi"/>
          <w:sz w:val="24"/>
          <w:szCs w:val="24"/>
        </w:rPr>
      </w:pPr>
      <w:r w:rsidRPr="00FF77B5">
        <w:rPr>
          <w:rFonts w:cstheme="minorHAnsi"/>
          <w:sz w:val="24"/>
          <w:szCs w:val="24"/>
        </w:rPr>
        <w:t>Experience serving in a specific therapeutic area to resolve moderately complex problems.</w:t>
      </w:r>
    </w:p>
    <w:p w14:paraId="3FCCA629" w14:textId="6E7C5D87" w:rsidR="00333680" w:rsidRPr="00FF77B5" w:rsidRDefault="00ED2EC9" w:rsidP="00333680">
      <w:pPr>
        <w:pStyle w:val="NoSpacing"/>
        <w:numPr>
          <w:ilvl w:val="0"/>
          <w:numId w:val="33"/>
        </w:numPr>
        <w:rPr>
          <w:rFonts w:cstheme="minorHAnsi"/>
          <w:sz w:val="24"/>
          <w:szCs w:val="24"/>
        </w:rPr>
      </w:pPr>
      <w:r w:rsidRPr="00FF77B5">
        <w:rPr>
          <w:rFonts w:cstheme="minorHAnsi"/>
          <w:sz w:val="24"/>
          <w:szCs w:val="24"/>
        </w:rPr>
        <w:t>Experience drafting and recommending studies for specific drug issues.</w:t>
      </w:r>
    </w:p>
    <w:p w14:paraId="341CF962" w14:textId="60B9ECB7" w:rsidR="00ED2EC9" w:rsidRPr="00FF77B5" w:rsidRDefault="00ED2EC9" w:rsidP="00333680">
      <w:pPr>
        <w:pStyle w:val="NoSpacing"/>
        <w:numPr>
          <w:ilvl w:val="0"/>
          <w:numId w:val="33"/>
        </w:numPr>
        <w:rPr>
          <w:rFonts w:cstheme="minorHAnsi"/>
          <w:sz w:val="24"/>
          <w:szCs w:val="24"/>
        </w:rPr>
      </w:pPr>
      <w:r w:rsidRPr="00FF77B5">
        <w:rPr>
          <w:rFonts w:cstheme="minorHAnsi"/>
          <w:sz w:val="24"/>
          <w:szCs w:val="24"/>
        </w:rPr>
        <w:t>Experience communicating findings, making recommendations, and drafting written summaries, to convey information on a wide range of pharmaceutical regulatory issues.</w:t>
      </w:r>
    </w:p>
    <w:p w14:paraId="4E13F3CA" w14:textId="7BB15FFB" w:rsidR="00ED2EC9" w:rsidRPr="00FF77B5" w:rsidRDefault="00ED2EC9" w:rsidP="00AA1BE7">
      <w:pPr>
        <w:pStyle w:val="NoSpacing"/>
        <w:numPr>
          <w:ilvl w:val="0"/>
          <w:numId w:val="33"/>
        </w:numPr>
        <w:rPr>
          <w:rFonts w:cstheme="minorHAnsi"/>
          <w:sz w:val="24"/>
          <w:szCs w:val="24"/>
        </w:rPr>
      </w:pPr>
      <w:r w:rsidRPr="00FF77B5">
        <w:rPr>
          <w:rFonts w:cstheme="minorHAnsi"/>
          <w:sz w:val="24"/>
          <w:szCs w:val="24"/>
        </w:rPr>
        <w:t>Experience interacting with agency staff and stakeholders.</w:t>
      </w:r>
    </w:p>
    <w:p w14:paraId="612AC2FF" w14:textId="77777777" w:rsidR="00BB11BC" w:rsidRPr="00342EF5" w:rsidRDefault="00BB11BC" w:rsidP="00BB11BC">
      <w:pPr>
        <w:pStyle w:val="NoSpacing"/>
        <w:rPr>
          <w:rFonts w:cstheme="minorHAnsi"/>
          <w:sz w:val="24"/>
          <w:szCs w:val="24"/>
        </w:rPr>
      </w:pPr>
    </w:p>
    <w:p w14:paraId="7297E342" w14:textId="77777777" w:rsidR="00ED2EC9" w:rsidRPr="00FF77B5" w:rsidRDefault="00D62813" w:rsidP="00D62813">
      <w:pPr>
        <w:pStyle w:val="NoSpacing"/>
        <w:rPr>
          <w:rFonts w:cstheme="minorHAnsi"/>
          <w:b/>
          <w:bCs/>
          <w:sz w:val="24"/>
          <w:szCs w:val="24"/>
          <w:lang w:val="en"/>
        </w:rPr>
      </w:pPr>
      <w:r w:rsidRPr="00FF77B5">
        <w:rPr>
          <w:rFonts w:cstheme="minorHAnsi"/>
          <w:b/>
          <w:bCs/>
          <w:sz w:val="24"/>
          <w:szCs w:val="24"/>
          <w:u w:val="single"/>
          <w:lang w:val="en"/>
        </w:rPr>
        <w:t>Desired Professional Experience</w:t>
      </w:r>
      <w:r w:rsidRPr="00FF77B5">
        <w:rPr>
          <w:rFonts w:cstheme="minorHAnsi"/>
          <w:b/>
          <w:bCs/>
          <w:sz w:val="24"/>
          <w:szCs w:val="24"/>
          <w:lang w:val="en"/>
        </w:rPr>
        <w:t xml:space="preserve">: </w:t>
      </w:r>
    </w:p>
    <w:p w14:paraId="6E99ADD9" w14:textId="26F9E67C" w:rsidR="006752CD" w:rsidRPr="00342EF5" w:rsidRDefault="00FF77B5" w:rsidP="006752CD">
      <w:pPr>
        <w:pStyle w:val="NormalWeb"/>
        <w:rPr>
          <w:rFonts w:asciiTheme="minorHAnsi" w:hAnsiTheme="minorHAnsi"/>
          <w:bCs/>
        </w:rPr>
      </w:pPr>
      <w:r w:rsidRPr="00FF77B5">
        <w:rPr>
          <w:rFonts w:asciiTheme="minorHAnsi" w:hAnsiTheme="minorHAnsi"/>
          <w:bCs/>
        </w:rPr>
        <w:t xml:space="preserve">Our ideal candidate will possess: </w:t>
      </w:r>
    </w:p>
    <w:p w14:paraId="18AF46CF" w14:textId="77777777" w:rsidR="006752CD" w:rsidRPr="00342EF5" w:rsidRDefault="006752CD" w:rsidP="006752CD">
      <w:pPr>
        <w:pStyle w:val="NormalWeb"/>
        <w:rPr>
          <w:rFonts w:asciiTheme="minorHAnsi" w:hAnsiTheme="minorHAnsi"/>
          <w:bCs/>
        </w:rPr>
      </w:pPr>
    </w:p>
    <w:p w14:paraId="173C391C" w14:textId="729A5306" w:rsidR="006752CD" w:rsidRPr="00342EF5" w:rsidRDefault="006752CD" w:rsidP="006752CD">
      <w:pPr>
        <w:pStyle w:val="NormalWeb"/>
        <w:numPr>
          <w:ilvl w:val="0"/>
          <w:numId w:val="39"/>
        </w:numPr>
        <w:rPr>
          <w:rFonts w:asciiTheme="minorHAnsi" w:hAnsiTheme="minorHAnsi"/>
          <w:bCs/>
        </w:rPr>
      </w:pPr>
      <w:r w:rsidRPr="00342EF5">
        <w:rPr>
          <w:rFonts w:asciiTheme="minorHAnsi" w:hAnsiTheme="minorHAnsi"/>
          <w:bCs/>
        </w:rPr>
        <w:t xml:space="preserve">Expertise in clinical pharmacology with strong background in the OCP-relevant knowledge topics </w:t>
      </w:r>
      <w:r w:rsidR="00342EF5" w:rsidRPr="00342EF5">
        <w:rPr>
          <w:rFonts w:asciiTheme="minorHAnsi" w:hAnsiTheme="minorHAnsi"/>
          <w:bCs/>
        </w:rPr>
        <w:t>including</w:t>
      </w:r>
      <w:r w:rsidRPr="00342EF5">
        <w:rPr>
          <w:rFonts w:asciiTheme="minorHAnsi" w:hAnsiTheme="minorHAnsi"/>
          <w:bCs/>
        </w:rPr>
        <w:t xml:space="preserve"> Drug Disposition, Pharmacology/Biomarkers, Quantitative Methods, Drug Safety, Pharmacotherapy, Clinical Trial </w:t>
      </w:r>
      <w:r w:rsidR="00342EF5" w:rsidRPr="00342EF5">
        <w:rPr>
          <w:rFonts w:asciiTheme="minorHAnsi" w:hAnsiTheme="minorHAnsi"/>
          <w:bCs/>
        </w:rPr>
        <w:t>Methods,</w:t>
      </w:r>
      <w:r w:rsidRPr="00342EF5">
        <w:rPr>
          <w:rFonts w:asciiTheme="minorHAnsi" w:hAnsiTheme="minorHAnsi"/>
          <w:bCs/>
        </w:rPr>
        <w:t xml:space="preserve"> and Guidance/Policy.</w:t>
      </w:r>
    </w:p>
    <w:p w14:paraId="7C67ACB4" w14:textId="04C4BE0C" w:rsidR="006752CD" w:rsidRPr="00342EF5" w:rsidRDefault="006752CD" w:rsidP="006752CD">
      <w:pPr>
        <w:pStyle w:val="NormalWeb"/>
        <w:numPr>
          <w:ilvl w:val="0"/>
          <w:numId w:val="39"/>
        </w:numPr>
        <w:rPr>
          <w:rFonts w:asciiTheme="minorHAnsi" w:hAnsiTheme="minorHAnsi"/>
          <w:bCs/>
        </w:rPr>
      </w:pPr>
      <w:r w:rsidRPr="00342EF5">
        <w:rPr>
          <w:rFonts w:asciiTheme="minorHAnsi" w:hAnsiTheme="minorHAnsi"/>
          <w:bCs/>
        </w:rPr>
        <w:t>Leadership ability as demonstrated by a track record in: Influencing/Negotiating, Technical Acumen, Problem Solving, Conflict Management and Developing Others/Team Building</w:t>
      </w:r>
      <w:r w:rsidR="0062414A">
        <w:rPr>
          <w:rFonts w:asciiTheme="minorHAnsi" w:hAnsiTheme="minorHAnsi"/>
          <w:bCs/>
        </w:rPr>
        <w:t>.</w:t>
      </w:r>
    </w:p>
    <w:p w14:paraId="305964CF" w14:textId="77777777" w:rsidR="006752CD" w:rsidRPr="00342EF5" w:rsidRDefault="006752CD" w:rsidP="006752CD">
      <w:pPr>
        <w:pStyle w:val="NormalWeb"/>
        <w:numPr>
          <w:ilvl w:val="0"/>
          <w:numId w:val="39"/>
        </w:numPr>
        <w:rPr>
          <w:rFonts w:asciiTheme="minorHAnsi" w:hAnsiTheme="minorHAnsi"/>
          <w:bCs/>
        </w:rPr>
      </w:pPr>
      <w:r w:rsidRPr="00342EF5">
        <w:rPr>
          <w:rFonts w:asciiTheme="minorHAnsi" w:hAnsiTheme="minorHAnsi"/>
          <w:bCs/>
        </w:rPr>
        <w:t>Experience in leading and managing a scientific team.</w:t>
      </w:r>
    </w:p>
    <w:p w14:paraId="707D36EF" w14:textId="77777777" w:rsidR="006752CD" w:rsidRPr="00342EF5" w:rsidRDefault="006752CD" w:rsidP="006752CD">
      <w:pPr>
        <w:pStyle w:val="NormalWeb"/>
        <w:numPr>
          <w:ilvl w:val="0"/>
          <w:numId w:val="39"/>
        </w:numPr>
        <w:rPr>
          <w:rFonts w:asciiTheme="minorHAnsi" w:hAnsiTheme="minorHAnsi"/>
          <w:bCs/>
        </w:rPr>
      </w:pPr>
      <w:r w:rsidRPr="00342EF5">
        <w:rPr>
          <w:rFonts w:asciiTheme="minorHAnsi" w:hAnsiTheme="minorHAnsi"/>
          <w:bCs/>
        </w:rPr>
        <w:t>Expert knowledge of drug development review process.</w:t>
      </w:r>
    </w:p>
    <w:p w14:paraId="0EB15195" w14:textId="77777777" w:rsidR="006752CD" w:rsidRPr="00342EF5" w:rsidRDefault="006752CD" w:rsidP="006752CD">
      <w:pPr>
        <w:pStyle w:val="NormalWeb"/>
        <w:numPr>
          <w:ilvl w:val="0"/>
          <w:numId w:val="39"/>
        </w:numPr>
        <w:rPr>
          <w:rFonts w:asciiTheme="minorHAnsi" w:hAnsiTheme="minorHAnsi"/>
          <w:bCs/>
        </w:rPr>
      </w:pPr>
      <w:r w:rsidRPr="00342EF5">
        <w:rPr>
          <w:rFonts w:asciiTheme="minorHAnsi" w:hAnsiTheme="minorHAnsi"/>
          <w:bCs/>
        </w:rPr>
        <w:t>Exceptional oral and written communication skills.</w:t>
      </w:r>
    </w:p>
    <w:p w14:paraId="10CB6B18" w14:textId="77777777" w:rsidR="0076213B" w:rsidRDefault="0076213B" w:rsidP="0076213B">
      <w:pPr>
        <w:pStyle w:val="Heading1"/>
      </w:pPr>
      <w:r>
        <w:t>Education Transcripts</w:t>
      </w:r>
    </w:p>
    <w:p w14:paraId="0000367F" w14:textId="65B54166" w:rsidR="00397CB0" w:rsidRPr="00FF77B5" w:rsidRDefault="00397CB0" w:rsidP="00B01DF0">
      <w:pPr>
        <w:pStyle w:val="NoSpacing"/>
        <w:rPr>
          <w:sz w:val="24"/>
          <w:szCs w:val="24"/>
        </w:rPr>
      </w:pPr>
      <w:r w:rsidRPr="00FF77B5">
        <w:rPr>
          <w:sz w:val="24"/>
          <w:szCs w:val="24"/>
          <w:u w:val="single"/>
        </w:rPr>
        <w:t>SUBMITTING YOUR TRANSCRIPTS:</w:t>
      </w:r>
      <w:r w:rsidRPr="00FF77B5">
        <w:rPr>
          <w:sz w:val="24"/>
          <w:szCs w:val="24"/>
        </w:rPr>
        <w:t xml:space="preserve"> Positions which are scientific or technical in nature often have very specific educational requirements. A transcript is required to verify educational achievement. Pay careful attention to the Qualifications and Education sections to identify vacancies where a transcript is required. Even if you hold a similar position or are a current FDA employee, you are not exempt from transcript requirements.</w:t>
      </w:r>
    </w:p>
    <w:p w14:paraId="759AC283" w14:textId="77777777" w:rsidR="00B01DF0" w:rsidRPr="00F20FBF" w:rsidRDefault="00B01DF0" w:rsidP="00630B55">
      <w:pPr>
        <w:pStyle w:val="NoSpacing"/>
      </w:pPr>
    </w:p>
    <w:p w14:paraId="7E705EDA" w14:textId="59C564F8" w:rsidR="00397CB0" w:rsidRPr="00FF77B5" w:rsidRDefault="00397CB0" w:rsidP="00630B55">
      <w:pPr>
        <w:pStyle w:val="NoSpacing"/>
        <w:rPr>
          <w:sz w:val="24"/>
          <w:szCs w:val="24"/>
        </w:rPr>
      </w:pPr>
      <w:r w:rsidRPr="00FF77B5">
        <w:rPr>
          <w:sz w:val="24"/>
          <w:szCs w:val="24"/>
          <w:u w:val="single"/>
        </w:rPr>
        <w:t>F</w:t>
      </w:r>
      <w:r w:rsidR="00B023CE" w:rsidRPr="00FF77B5">
        <w:rPr>
          <w:sz w:val="24"/>
          <w:szCs w:val="24"/>
          <w:u w:val="single"/>
        </w:rPr>
        <w:t>OREIGN EDUCATION</w:t>
      </w:r>
      <w:r w:rsidRPr="00FF77B5">
        <w:rPr>
          <w:sz w:val="24"/>
          <w:szCs w:val="24"/>
          <w:u w:val="single"/>
        </w:rPr>
        <w:t>:</w:t>
      </w:r>
      <w:r w:rsidRPr="00FF77B5">
        <w:rPr>
          <w:sz w:val="24"/>
          <w:szCs w:val="24"/>
        </w:rPr>
        <w:t xml:space="preserve"> If you are using education completed in foreign colleges or universities to meet the qualification requirements, you must show that the education credentials have been evaluated by a private organization that specializes in interpretation of foreign education programs and such education has been deemed equivalent to that gained in an accredited U.S. education program; or full credit has been given for the courses at a U.S. accredited college or </w:t>
      </w:r>
      <w:r w:rsidR="00342EF5" w:rsidRPr="00FF77B5">
        <w:rPr>
          <w:sz w:val="24"/>
          <w:szCs w:val="24"/>
        </w:rPr>
        <w:t>university. For</w:t>
      </w:r>
      <w:r w:rsidRPr="00FF77B5">
        <w:rPr>
          <w:sz w:val="24"/>
          <w:szCs w:val="24"/>
        </w:rPr>
        <w:t xml:space="preserve"> more information about this requirement, please visit the </w:t>
      </w:r>
      <w:hyperlink r:id="rId15" w:history="1">
        <w:r w:rsidRPr="00FF77B5">
          <w:rPr>
            <w:rStyle w:val="Hyperlink"/>
            <w:sz w:val="24"/>
            <w:szCs w:val="24"/>
          </w:rPr>
          <w:t>U.S. Department of Education website for Foreign Education Evaluation</w:t>
        </w:r>
      </w:hyperlink>
      <w:r w:rsidRPr="00FF77B5">
        <w:rPr>
          <w:sz w:val="24"/>
          <w:szCs w:val="24"/>
        </w:rPr>
        <w:t>.</w:t>
      </w:r>
    </w:p>
    <w:p w14:paraId="334935C1" w14:textId="0F3CA1D3" w:rsidR="00BB11BC" w:rsidRDefault="0014698E" w:rsidP="0014698E">
      <w:pPr>
        <w:pStyle w:val="Heading1"/>
        <w:rPr>
          <w:rFonts w:eastAsia="Times New Roman"/>
        </w:rPr>
      </w:pPr>
      <w:r>
        <w:rPr>
          <w:rFonts w:eastAsia="Times New Roman"/>
        </w:rPr>
        <w:t>Security Clearance Requirements</w:t>
      </w:r>
    </w:p>
    <w:p w14:paraId="6565A9DA" w14:textId="6B912083" w:rsidR="00FF77B5" w:rsidRDefault="001478B3" w:rsidP="004F76BA">
      <w:pPr>
        <w:pStyle w:val="NoSpacing"/>
        <w:rPr>
          <w:sz w:val="24"/>
          <w:szCs w:val="24"/>
        </w:rPr>
      </w:pPr>
      <w:r w:rsidRPr="005738A7">
        <w:rPr>
          <w:sz w:val="24"/>
          <w:szCs w:val="24"/>
        </w:rPr>
        <w:t xml:space="preserve">Background Investigation/Security Clearance Requirements: </w:t>
      </w:r>
      <w:r w:rsidR="004F76BA" w:rsidRPr="005738A7">
        <w:rPr>
          <w:sz w:val="24"/>
          <w:szCs w:val="24"/>
        </w:rPr>
        <w:t xml:space="preserve"> </w:t>
      </w:r>
      <w:bookmarkStart w:id="7" w:name="_Hlk129960995"/>
      <w:r w:rsidR="00FF77B5" w:rsidRPr="00FF77B5">
        <w:rPr>
          <w:sz w:val="24"/>
          <w:szCs w:val="24"/>
        </w:rPr>
        <w:t>Non-Sensitive/High Risk</w:t>
      </w:r>
      <w:bookmarkEnd w:id="7"/>
    </w:p>
    <w:p w14:paraId="5C717E1E" w14:textId="358455FB" w:rsidR="00FF77B5" w:rsidRPr="00FF77B5" w:rsidRDefault="00FF77B5" w:rsidP="004F76BA">
      <w:pPr>
        <w:pStyle w:val="NoSpacing"/>
        <w:rPr>
          <w:rFonts w:cstheme="minorHAnsi"/>
          <w:sz w:val="24"/>
          <w:szCs w:val="24"/>
          <w:lang w:val="en"/>
        </w:rPr>
      </w:pPr>
    </w:p>
    <w:p w14:paraId="1171B164" w14:textId="72EFF9D3" w:rsidR="006752CD" w:rsidRDefault="006752CD" w:rsidP="003A2E0D">
      <w:pPr>
        <w:pStyle w:val="NoSpacing"/>
        <w:rPr>
          <w:sz w:val="24"/>
          <w:szCs w:val="24"/>
        </w:rPr>
      </w:pPr>
      <w:r w:rsidRPr="00141F34">
        <w:rPr>
          <w:sz w:val="24"/>
          <w:szCs w:val="24"/>
        </w:rPr>
        <w:t>If not previously completed, a background security investigation will be required for all appointees. Appointment will be subject to the applicant’s successful completion of a background security investigation and favorable adjudication. Failure to successfully meet these requirements may be grounds for appropriate personnel action. In addition, if hired, a background security investigation or supplemental investigation may be required later.</w:t>
      </w:r>
    </w:p>
    <w:p w14:paraId="7B5010DB" w14:textId="77777777" w:rsidR="003A2E0D" w:rsidRPr="00141F34" w:rsidRDefault="003A2E0D" w:rsidP="00141F34">
      <w:pPr>
        <w:pStyle w:val="NoSpacing"/>
        <w:rPr>
          <w:sz w:val="24"/>
          <w:szCs w:val="24"/>
        </w:rPr>
      </w:pPr>
    </w:p>
    <w:p w14:paraId="64416B1E" w14:textId="70E718BD" w:rsidR="00D1686B" w:rsidRPr="00141F34" w:rsidRDefault="006752CD" w:rsidP="00141F34">
      <w:pPr>
        <w:pStyle w:val="NoSpacing"/>
        <w:rPr>
          <w:sz w:val="24"/>
          <w:szCs w:val="24"/>
        </w:rPr>
      </w:pPr>
      <w:r w:rsidRPr="00141F34">
        <w:rPr>
          <w:sz w:val="24"/>
          <w:szCs w:val="24"/>
        </w:rPr>
        <w:t>Applicants are also advised that all information concerning qualification</w:t>
      </w:r>
      <w:r w:rsidR="003A2E0D">
        <w:rPr>
          <w:sz w:val="24"/>
          <w:szCs w:val="24"/>
        </w:rPr>
        <w:t>s</w:t>
      </w:r>
      <w:r w:rsidRPr="00141F34">
        <w:rPr>
          <w:sz w:val="24"/>
          <w:szCs w:val="24"/>
        </w:rPr>
        <w:t xml:space="preserve"> is subject to investigation. False representation may be grounds for non-selection and/or appropriate disciplinary </w:t>
      </w:r>
      <w:r w:rsidR="00D1686B" w:rsidRPr="00141F34">
        <w:rPr>
          <w:sz w:val="24"/>
          <w:szCs w:val="24"/>
        </w:rPr>
        <w:t xml:space="preserve">action. </w:t>
      </w:r>
    </w:p>
    <w:p w14:paraId="520CC7CE" w14:textId="509AF8A3" w:rsidR="00712AED" w:rsidRPr="00FF0962" w:rsidRDefault="00D1686B" w:rsidP="002E358C">
      <w:pPr>
        <w:pStyle w:val="Heading1"/>
      </w:pPr>
      <w:r>
        <w:t>Ethics</w:t>
      </w:r>
      <w:r w:rsidR="00712AED">
        <w:t xml:space="preserve"> Clearance Requirements</w:t>
      </w:r>
    </w:p>
    <w:p w14:paraId="4F5A19C7" w14:textId="5B1A4809" w:rsidR="00712AED" w:rsidRPr="005738A7" w:rsidRDefault="00712AED" w:rsidP="00712AED">
      <w:pPr>
        <w:pStyle w:val="NoSpacing"/>
        <w:rPr>
          <w:rFonts w:cstheme="minorHAnsi"/>
          <w:color w:val="212121"/>
          <w:sz w:val="24"/>
          <w:szCs w:val="24"/>
        </w:rPr>
      </w:pPr>
      <w:r w:rsidRPr="005738A7">
        <w:rPr>
          <w:rFonts w:cstheme="minorHAnsi"/>
          <w:color w:val="212121"/>
          <w:sz w:val="24"/>
          <w:szCs w:val="24"/>
        </w:rPr>
        <w:t xml:space="preserve">This position may require financial disclosure reporting and will be subject to FDA's prohibited financial interest regulation. If you are hired, you may be required to divest of certain financial interests. You are advised to seek additional information on this requirement from the hiring official before accepting any job offers. For more </w:t>
      </w:r>
      <w:r w:rsidR="00342EF5" w:rsidRPr="005738A7">
        <w:rPr>
          <w:rFonts w:cstheme="minorHAnsi"/>
          <w:color w:val="212121"/>
          <w:sz w:val="24"/>
          <w:szCs w:val="24"/>
        </w:rPr>
        <w:t>information,</w:t>
      </w:r>
      <w:r w:rsidRPr="005738A7">
        <w:rPr>
          <w:rFonts w:cstheme="minorHAnsi"/>
          <w:color w:val="212121"/>
          <w:sz w:val="24"/>
          <w:szCs w:val="24"/>
        </w:rPr>
        <w:t xml:space="preserve"> please visit the FDA Ethics web page: </w:t>
      </w:r>
      <w:hyperlink r:id="rId16" w:history="1">
        <w:r w:rsidRPr="005738A7">
          <w:rPr>
            <w:rStyle w:val="Hyperlink"/>
            <w:rFonts w:cstheme="minorHAnsi"/>
            <w:sz w:val="24"/>
            <w:szCs w:val="24"/>
          </w:rPr>
          <w:t>https://www.fda.gov/about-fda/jobs-and-training-fda/ethics</w:t>
        </w:r>
      </w:hyperlink>
      <w:r w:rsidRPr="005738A7">
        <w:rPr>
          <w:rFonts w:cstheme="minorHAnsi"/>
          <w:color w:val="212121"/>
          <w:sz w:val="24"/>
          <w:szCs w:val="24"/>
        </w:rPr>
        <w:t xml:space="preserve">. </w:t>
      </w:r>
    </w:p>
    <w:p w14:paraId="724214A3" w14:textId="0C12922F" w:rsidR="003662E4" w:rsidRDefault="0014698E" w:rsidP="00630B55">
      <w:pPr>
        <w:pStyle w:val="Heading1"/>
      </w:pPr>
      <w:r>
        <w:t xml:space="preserve">Equal Employment Opportunity </w:t>
      </w:r>
    </w:p>
    <w:p w14:paraId="51A20230" w14:textId="5B3E064E" w:rsidR="0030622E" w:rsidRPr="005738A7" w:rsidRDefault="0030622E" w:rsidP="00630B55">
      <w:pPr>
        <w:pStyle w:val="NoSpacing"/>
        <w:rPr>
          <w:rFonts w:cstheme="minorHAnsi"/>
          <w:sz w:val="24"/>
          <w:szCs w:val="24"/>
        </w:rPr>
      </w:pPr>
      <w:r w:rsidRPr="005738A7">
        <w:rPr>
          <w:rFonts w:cstheme="minorHAnsi"/>
          <w:sz w:val="24"/>
          <w:szCs w:val="24"/>
        </w:rPr>
        <w:t>Equal Employment Opportunity Policy</w:t>
      </w:r>
    </w:p>
    <w:p w14:paraId="4F3AD89B" w14:textId="77777777" w:rsidR="0030622E" w:rsidRPr="005738A7" w:rsidRDefault="0030622E" w:rsidP="00630B55">
      <w:pPr>
        <w:pStyle w:val="NoSpacing"/>
        <w:rPr>
          <w:rFonts w:cstheme="minorHAnsi"/>
          <w:sz w:val="24"/>
          <w:szCs w:val="24"/>
        </w:rPr>
      </w:pPr>
      <w:r w:rsidRPr="005738A7">
        <w:rPr>
          <w:rFonts w:cstheme="minorHAnsi"/>
          <w:sz w:val="24"/>
          <w:szCs w:val="24"/>
        </w:rPr>
        <w:t xml:space="preserve">The United States Government does not discriminate in employment </w:t>
      </w:r>
      <w:proofErr w:type="gramStart"/>
      <w:r w:rsidRPr="005738A7">
        <w:rPr>
          <w:rFonts w:cstheme="minorHAnsi"/>
          <w:sz w:val="24"/>
          <w:szCs w:val="24"/>
        </w:rPr>
        <w:t>on the basis of</w:t>
      </w:r>
      <w:proofErr w:type="gramEnd"/>
      <w:r w:rsidRPr="005738A7">
        <w:rPr>
          <w:rFonts w:cstheme="minorHAnsi"/>
          <w:sz w:val="24"/>
          <w:szCs w:val="24"/>
        </w:rPr>
        <w:t xml:space="preserve"> race, color, religion, sex (including pregnancy and gender identity), national origin, political affiliation, sexual orientation, marital status, disability, genetic information, age, membership in an employee organization, retaliation, parental status, military service, or other non-merit factor.</w:t>
      </w:r>
    </w:p>
    <w:p w14:paraId="1F94A51A" w14:textId="24ED45D4" w:rsidR="0030622E" w:rsidRPr="005738A7" w:rsidRDefault="00296C66" w:rsidP="00630B55">
      <w:pPr>
        <w:pStyle w:val="NoSpacing"/>
        <w:rPr>
          <w:rStyle w:val="Hyperlink"/>
          <w:rFonts w:cstheme="minorHAnsi"/>
          <w:color w:val="4C2C92"/>
          <w:sz w:val="24"/>
          <w:szCs w:val="24"/>
        </w:rPr>
      </w:pPr>
      <w:hyperlink r:id="rId17" w:tgtFrame="_blank" w:history="1">
        <w:r w:rsidR="0030622E" w:rsidRPr="005738A7">
          <w:rPr>
            <w:rStyle w:val="Hyperlink"/>
            <w:rFonts w:cstheme="minorHAnsi"/>
            <w:color w:val="4C2C92"/>
            <w:sz w:val="24"/>
            <w:szCs w:val="24"/>
          </w:rPr>
          <w:t>Equal Employment Opportunity (EEO) for federal employees &amp; job applicants</w:t>
        </w:r>
      </w:hyperlink>
    </w:p>
    <w:p w14:paraId="7C1A6F53" w14:textId="036A7EC1" w:rsidR="0014698E" w:rsidRPr="00630B55" w:rsidRDefault="0014698E" w:rsidP="00630B55">
      <w:pPr>
        <w:pStyle w:val="Heading1"/>
      </w:pPr>
      <w:r>
        <w:t>Reasonable Accommodation</w:t>
      </w:r>
    </w:p>
    <w:p w14:paraId="2368710B" w14:textId="77777777" w:rsidR="007B3F87" w:rsidRPr="005738A7" w:rsidRDefault="007B3F87" w:rsidP="007B3F87">
      <w:pPr>
        <w:pStyle w:val="NoSpacing"/>
        <w:rPr>
          <w:rFonts w:cstheme="minorHAnsi"/>
          <w:sz w:val="24"/>
          <w:szCs w:val="24"/>
        </w:rPr>
      </w:pPr>
      <w:r w:rsidRPr="005738A7">
        <w:rPr>
          <w:rFonts w:cstheme="minorHAnsi"/>
          <w:sz w:val="24"/>
          <w:szCs w:val="24"/>
        </w:rPr>
        <w:t>Reasonable Accommodation Policy</w:t>
      </w:r>
    </w:p>
    <w:p w14:paraId="3EC82BA3" w14:textId="77777777" w:rsidR="005738A7" w:rsidRDefault="007B3F87" w:rsidP="005B65C4">
      <w:pPr>
        <w:pStyle w:val="NoSpacing"/>
        <w:rPr>
          <w:rFonts w:cstheme="minorHAnsi"/>
          <w:sz w:val="24"/>
          <w:szCs w:val="24"/>
        </w:rPr>
      </w:pPr>
      <w:r w:rsidRPr="005738A7">
        <w:rPr>
          <w:rFonts w:cstheme="minorHAnsi"/>
          <w:sz w:val="24"/>
          <w:szCs w:val="24"/>
        </w:rPr>
        <w:t xml:space="preserve">Federal agencies must provide reasonable accommodation to applicants with disabilities where appropriate. Applicants requiring reasonable accommodation for any part of the application process should follow the instructions in the job opportunity announcement. For any part of the remaining hiring process, applicants should contact the hiring agency directly. Determinations on requests for reasonable accommodation will be made on a case-by-case </w:t>
      </w:r>
      <w:r w:rsidR="00342EF5" w:rsidRPr="005738A7">
        <w:rPr>
          <w:rFonts w:cstheme="minorHAnsi"/>
          <w:sz w:val="24"/>
          <w:szCs w:val="24"/>
        </w:rPr>
        <w:t>basis. A</w:t>
      </w:r>
      <w:r w:rsidR="0030622E" w:rsidRPr="005738A7">
        <w:rPr>
          <w:rFonts w:cstheme="minorHAnsi"/>
          <w:sz w:val="24"/>
          <w:szCs w:val="24"/>
        </w:rPr>
        <w:t xml:space="preserve"> reasonable accommodation is any change to a job, the work environment, or the way things are usually done that enables an individual with a disability to apply for a job, perform job duties or receive equal access to job benefits.</w:t>
      </w:r>
      <w:r w:rsidR="00327BAB" w:rsidRPr="005738A7">
        <w:rPr>
          <w:rFonts w:cstheme="minorHAnsi"/>
          <w:sz w:val="24"/>
          <w:szCs w:val="24"/>
        </w:rPr>
        <w:t xml:space="preserve"> </w:t>
      </w:r>
    </w:p>
    <w:p w14:paraId="77C5A31F" w14:textId="77777777" w:rsidR="005738A7" w:rsidRDefault="005738A7" w:rsidP="005B65C4">
      <w:pPr>
        <w:pStyle w:val="NoSpacing"/>
        <w:rPr>
          <w:rFonts w:cstheme="minorHAnsi"/>
          <w:sz w:val="24"/>
          <w:szCs w:val="24"/>
        </w:rPr>
      </w:pPr>
    </w:p>
    <w:p w14:paraId="0D349DC0" w14:textId="56DD02EA" w:rsidR="0030622E" w:rsidRPr="00342EF5" w:rsidRDefault="0030622E" w:rsidP="005B65C4">
      <w:pPr>
        <w:pStyle w:val="NoSpacing"/>
        <w:rPr>
          <w:rStyle w:val="Hyperlink"/>
          <w:rFonts w:cstheme="minorHAnsi"/>
          <w:color w:val="4C2C92"/>
          <w:sz w:val="24"/>
          <w:szCs w:val="24"/>
        </w:rPr>
      </w:pPr>
      <w:r w:rsidRPr="005738A7">
        <w:rPr>
          <w:rFonts w:cstheme="minorHAnsi"/>
          <w:sz w:val="24"/>
          <w:szCs w:val="24"/>
        </w:rPr>
        <w:t>Under the Rehabilitation Act of 1973, federal agencies must provide reasonable accommodations when:</w:t>
      </w:r>
      <w:r w:rsidR="00327BAB" w:rsidRPr="005738A7">
        <w:rPr>
          <w:rFonts w:cstheme="minorHAnsi"/>
          <w:sz w:val="24"/>
          <w:szCs w:val="24"/>
        </w:rPr>
        <w:t xml:space="preserve"> </w:t>
      </w:r>
      <w:r w:rsidRPr="005738A7">
        <w:rPr>
          <w:rFonts w:cstheme="minorHAnsi"/>
          <w:sz w:val="24"/>
          <w:szCs w:val="24"/>
        </w:rPr>
        <w:t>An applicant with a disability needs an accommodation to have an equal opportunity to apply for a job.</w:t>
      </w:r>
      <w:r w:rsidR="00327BAB" w:rsidRPr="005738A7">
        <w:rPr>
          <w:rFonts w:cstheme="minorHAnsi"/>
          <w:sz w:val="24"/>
          <w:szCs w:val="24"/>
        </w:rPr>
        <w:t xml:space="preserve"> </w:t>
      </w:r>
      <w:r w:rsidRPr="005738A7">
        <w:rPr>
          <w:rFonts w:cstheme="minorHAnsi"/>
          <w:sz w:val="24"/>
          <w:szCs w:val="24"/>
        </w:rPr>
        <w:t>An employee with a disability needs an accommodation to perform the essential job duties or to gain access to the workplace.</w:t>
      </w:r>
      <w:r w:rsidR="00327BAB" w:rsidRPr="005738A7">
        <w:rPr>
          <w:rFonts w:cstheme="minorHAnsi"/>
          <w:sz w:val="24"/>
          <w:szCs w:val="24"/>
        </w:rPr>
        <w:t xml:space="preserve"> </w:t>
      </w:r>
      <w:r w:rsidRPr="005738A7">
        <w:rPr>
          <w:rFonts w:cstheme="minorHAnsi"/>
          <w:sz w:val="24"/>
          <w:szCs w:val="24"/>
        </w:rPr>
        <w:t>An employee with a disability needs an accommodation to receive equal access to benefits, such as details, training, and office-sponsored events.</w:t>
      </w:r>
      <w:r w:rsidR="00327BAB" w:rsidRPr="005738A7">
        <w:rPr>
          <w:rFonts w:cstheme="minorHAnsi"/>
          <w:sz w:val="24"/>
          <w:szCs w:val="24"/>
        </w:rPr>
        <w:t xml:space="preserve"> </w:t>
      </w:r>
      <w:r w:rsidRPr="005738A7">
        <w:rPr>
          <w:rFonts w:cstheme="minorHAnsi"/>
          <w:sz w:val="24"/>
          <w:szCs w:val="24"/>
        </w:rPr>
        <w:t>You can request a reasonable accommodation at any time during the application or hiring process or while on the job. Requests are considered on a case-by-case basis.</w:t>
      </w:r>
      <w:r w:rsidR="00606C9D" w:rsidRPr="005738A7">
        <w:rPr>
          <w:rFonts w:cstheme="minorHAnsi"/>
          <w:sz w:val="24"/>
          <w:szCs w:val="24"/>
        </w:rPr>
        <w:t xml:space="preserve"> </w:t>
      </w:r>
      <w:r w:rsidRPr="005738A7">
        <w:rPr>
          <w:rFonts w:cstheme="minorHAnsi"/>
          <w:sz w:val="24"/>
          <w:szCs w:val="24"/>
        </w:rPr>
        <w:t>Learn more about </w:t>
      </w:r>
      <w:hyperlink r:id="rId18" w:tgtFrame="_blank" w:history="1">
        <w:r w:rsidRPr="005738A7">
          <w:rPr>
            <w:rStyle w:val="Hyperlink"/>
            <w:rFonts w:cstheme="minorHAnsi"/>
            <w:color w:val="4C2C92"/>
            <w:sz w:val="24"/>
            <w:szCs w:val="24"/>
          </w:rPr>
          <w:t>disability employment and reasonable accommodations</w:t>
        </w:r>
      </w:hyperlink>
      <w:r w:rsidRPr="00342EF5">
        <w:rPr>
          <w:rFonts w:cstheme="minorHAnsi"/>
          <w:color w:val="212121"/>
          <w:sz w:val="24"/>
          <w:szCs w:val="24"/>
        </w:rPr>
        <w:t> or </w:t>
      </w:r>
      <w:hyperlink r:id="rId19" w:tgtFrame="_blank" w:history="1">
        <w:r w:rsidRPr="00342EF5">
          <w:rPr>
            <w:rStyle w:val="Hyperlink"/>
            <w:rFonts w:cstheme="minorHAnsi"/>
            <w:color w:val="4C2C92"/>
            <w:sz w:val="24"/>
            <w:szCs w:val="24"/>
          </w:rPr>
          <w:t>how to contact an agency.</w:t>
        </w:r>
      </w:hyperlink>
    </w:p>
    <w:p w14:paraId="7EBFD9C1" w14:textId="72D7E908" w:rsidR="00DC510B" w:rsidRDefault="00DC510B" w:rsidP="00DC510B">
      <w:pPr>
        <w:pStyle w:val="Heading1"/>
      </w:pPr>
      <w:r>
        <w:t>E-Verify</w:t>
      </w:r>
    </w:p>
    <w:p w14:paraId="287BEF39" w14:textId="11AEF3D5" w:rsidR="00DC510B" w:rsidRPr="005738A7" w:rsidRDefault="00DC510B" w:rsidP="00DC510B">
      <w:pPr>
        <w:pStyle w:val="NoSpacing"/>
        <w:rPr>
          <w:sz w:val="24"/>
          <w:szCs w:val="24"/>
        </w:rPr>
      </w:pPr>
      <w:r w:rsidRPr="005738A7">
        <w:rPr>
          <w:sz w:val="24"/>
          <w:szCs w:val="24"/>
        </w:rPr>
        <w:t>The Food and Drug Administration participates in the USCIS Electronic Employment Eligibility Verification Program (E-Verify). E-Verify helps employers determine employment eligibility of new hires and the validity of their Social Security numbers.</w:t>
      </w:r>
    </w:p>
    <w:p w14:paraId="703D3F16" w14:textId="6065498A" w:rsidR="000C7D05" w:rsidRDefault="000C7D05" w:rsidP="000C7D05">
      <w:pPr>
        <w:pStyle w:val="Heading1"/>
        <w:rPr>
          <w:rFonts w:eastAsia="Times New Roman" w:cstheme="minorHAnsi"/>
          <w:i/>
        </w:rPr>
      </w:pPr>
      <w:r>
        <w:t>How to Apply</w:t>
      </w:r>
    </w:p>
    <w:p w14:paraId="18C1B947" w14:textId="683C23D3" w:rsidR="0076213B" w:rsidRPr="005738A7" w:rsidRDefault="0076213B" w:rsidP="0EC5BE9E">
      <w:pPr>
        <w:pStyle w:val="NoSpacing"/>
        <w:rPr>
          <w:rStyle w:val="Hyperlink"/>
          <w:rFonts w:eastAsia="Times New Roman"/>
          <w:color w:val="auto"/>
          <w:sz w:val="24"/>
          <w:szCs w:val="24"/>
          <w:u w:val="none"/>
        </w:rPr>
      </w:pPr>
      <w:r w:rsidRPr="0EC5BE9E">
        <w:rPr>
          <w:sz w:val="24"/>
          <w:szCs w:val="24"/>
        </w:rPr>
        <w:t>Applicants should submit a letter of interest (cover letter) and current resume</w:t>
      </w:r>
      <w:r w:rsidRPr="0EC5BE9E">
        <w:rPr>
          <w:rFonts w:eastAsia="Times New Roman"/>
          <w:sz w:val="24"/>
          <w:szCs w:val="24"/>
        </w:rPr>
        <w:t xml:space="preserve"> by </w:t>
      </w:r>
      <w:r w:rsidR="008D00B5" w:rsidRPr="0EC5BE9E">
        <w:rPr>
          <w:rFonts w:eastAsia="Times New Roman"/>
          <w:b/>
          <w:bCs/>
          <w:sz w:val="24"/>
          <w:szCs w:val="24"/>
        </w:rPr>
        <w:t>August</w:t>
      </w:r>
      <w:r w:rsidRPr="0EC5BE9E">
        <w:rPr>
          <w:rFonts w:eastAsia="Times New Roman"/>
          <w:b/>
          <w:bCs/>
          <w:sz w:val="24"/>
          <w:szCs w:val="24"/>
        </w:rPr>
        <w:t xml:space="preserve"> </w:t>
      </w:r>
      <w:r w:rsidR="00B61B14" w:rsidRPr="0EC5BE9E">
        <w:rPr>
          <w:rFonts w:eastAsia="Times New Roman"/>
          <w:b/>
          <w:bCs/>
          <w:sz w:val="24"/>
          <w:szCs w:val="24"/>
        </w:rPr>
        <w:t>1</w:t>
      </w:r>
      <w:r w:rsidR="008D00B5" w:rsidRPr="0EC5BE9E">
        <w:rPr>
          <w:rFonts w:eastAsia="Times New Roman"/>
          <w:b/>
          <w:bCs/>
          <w:sz w:val="24"/>
          <w:szCs w:val="24"/>
        </w:rPr>
        <w:t>8</w:t>
      </w:r>
      <w:r w:rsidRPr="0EC5BE9E">
        <w:rPr>
          <w:rFonts w:eastAsia="Times New Roman"/>
          <w:b/>
          <w:bCs/>
          <w:sz w:val="24"/>
          <w:szCs w:val="24"/>
        </w:rPr>
        <w:t>, 202</w:t>
      </w:r>
      <w:r w:rsidR="00B61B14" w:rsidRPr="0EC5BE9E">
        <w:rPr>
          <w:rFonts w:eastAsia="Times New Roman"/>
          <w:b/>
          <w:bCs/>
          <w:sz w:val="24"/>
          <w:szCs w:val="24"/>
        </w:rPr>
        <w:t>3</w:t>
      </w:r>
      <w:r w:rsidRPr="0EC5BE9E">
        <w:rPr>
          <w:rFonts w:eastAsia="Times New Roman"/>
          <w:sz w:val="24"/>
          <w:szCs w:val="24"/>
        </w:rPr>
        <w:t xml:space="preserve">, </w:t>
      </w:r>
      <w:r w:rsidR="00612230" w:rsidRPr="0EC5BE9E">
        <w:rPr>
          <w:rFonts w:eastAsia="Times New Roman"/>
          <w:sz w:val="24"/>
          <w:szCs w:val="24"/>
        </w:rPr>
        <w:t xml:space="preserve">to </w:t>
      </w:r>
      <w:hyperlink r:id="rId20">
        <w:r w:rsidR="00612230" w:rsidRPr="0EC5BE9E">
          <w:rPr>
            <w:rStyle w:val="Hyperlink"/>
            <w:rFonts w:eastAsia="Times New Roman"/>
            <w:sz w:val="24"/>
            <w:szCs w:val="24"/>
          </w:rPr>
          <w:t>CDEROTSHires@fda.hhs.gov</w:t>
        </w:r>
      </w:hyperlink>
      <w:r w:rsidR="00612230" w:rsidRPr="0EC5BE9E">
        <w:rPr>
          <w:rFonts w:eastAsia="Times New Roman"/>
          <w:sz w:val="24"/>
          <w:szCs w:val="24"/>
        </w:rPr>
        <w:t xml:space="preserve">. </w:t>
      </w:r>
      <w:r w:rsidRPr="0EC5BE9E">
        <w:rPr>
          <w:rStyle w:val="Hyperlink"/>
          <w:rFonts w:eastAsia="Times New Roman"/>
          <w:color w:val="auto"/>
          <w:sz w:val="24"/>
          <w:szCs w:val="24"/>
          <w:u w:val="none"/>
        </w:rPr>
        <w:t>Please adhere to the following submission protocol:</w:t>
      </w:r>
    </w:p>
    <w:p w14:paraId="5AED88AC" w14:textId="7DD7BF47" w:rsidR="0076213B" w:rsidRPr="005738A7" w:rsidRDefault="0076213B" w:rsidP="0076213B">
      <w:pPr>
        <w:pStyle w:val="ListParagraph"/>
        <w:widowControl/>
        <w:numPr>
          <w:ilvl w:val="0"/>
          <w:numId w:val="37"/>
        </w:numPr>
        <w:rPr>
          <w:rFonts w:eastAsia="Times New Roman"/>
          <w:b/>
          <w:bCs/>
          <w:sz w:val="24"/>
          <w:szCs w:val="24"/>
        </w:rPr>
      </w:pPr>
      <w:r w:rsidRPr="005738A7">
        <w:rPr>
          <w:rFonts w:eastAsia="Times New Roman"/>
          <w:b/>
          <w:bCs/>
          <w:sz w:val="24"/>
          <w:szCs w:val="24"/>
        </w:rPr>
        <w:t xml:space="preserve">Cover letter and resume should be one combined PDF document with the following naming convention: Last Name, First Name </w:t>
      </w:r>
    </w:p>
    <w:p w14:paraId="65A10AF2" w14:textId="6A6A31A1" w:rsidR="0076213B" w:rsidRPr="005738A7" w:rsidRDefault="0076213B" w:rsidP="0076213B">
      <w:pPr>
        <w:pStyle w:val="ListParagraph"/>
        <w:widowControl/>
        <w:numPr>
          <w:ilvl w:val="0"/>
          <w:numId w:val="37"/>
        </w:numPr>
        <w:rPr>
          <w:rFonts w:eastAsia="Times New Roman"/>
          <w:sz w:val="24"/>
          <w:szCs w:val="24"/>
        </w:rPr>
      </w:pPr>
      <w:r w:rsidRPr="005738A7">
        <w:rPr>
          <w:rFonts w:eastAsia="Times New Roman"/>
          <w:b/>
          <w:bCs/>
          <w:sz w:val="24"/>
          <w:szCs w:val="24"/>
        </w:rPr>
        <w:t>Reference ‘</w:t>
      </w:r>
      <w:r w:rsidR="002E358C" w:rsidRPr="005738A7">
        <w:rPr>
          <w:rFonts w:eastAsia="Times New Roman"/>
          <w:b/>
          <w:bCs/>
          <w:sz w:val="24"/>
          <w:szCs w:val="24"/>
        </w:rPr>
        <w:t xml:space="preserve">OCP Associate Director for Therapeutic Review-DIIP’ </w:t>
      </w:r>
      <w:r w:rsidRPr="005738A7">
        <w:rPr>
          <w:rFonts w:eastAsia="Times New Roman"/>
          <w:b/>
          <w:bCs/>
          <w:sz w:val="24"/>
          <w:szCs w:val="24"/>
        </w:rPr>
        <w:t>in the subject line of the email.</w:t>
      </w:r>
    </w:p>
    <w:p w14:paraId="6E2DC54C" w14:textId="77777777" w:rsidR="0076213B" w:rsidRPr="005738A7" w:rsidRDefault="0076213B" w:rsidP="0076213B">
      <w:pPr>
        <w:pStyle w:val="NoSpacing"/>
        <w:rPr>
          <w:rFonts w:eastAsia="Arial" w:cstheme="minorHAnsi"/>
          <w:sz w:val="24"/>
          <w:szCs w:val="24"/>
        </w:rPr>
      </w:pPr>
    </w:p>
    <w:p w14:paraId="6CF6D736" w14:textId="2103D210" w:rsidR="0076213B" w:rsidRPr="005738A7" w:rsidRDefault="0076213B" w:rsidP="0076213B">
      <w:pPr>
        <w:pStyle w:val="NoSpacing"/>
        <w:rPr>
          <w:rFonts w:eastAsia="Times New Roman" w:cstheme="minorHAnsi"/>
          <w:sz w:val="24"/>
          <w:szCs w:val="24"/>
        </w:rPr>
      </w:pPr>
      <w:r w:rsidRPr="005738A7">
        <w:rPr>
          <w:rFonts w:cstheme="minorHAnsi"/>
          <w:sz w:val="24"/>
          <w:szCs w:val="24"/>
        </w:rPr>
        <w:t xml:space="preserve">Candidate resumes may be shared with hiring officials within the Center for Drug Evaluation and Research with a similar job vacancy. Candidates can opt out of this process by annotating resume or email with “do not share”. </w:t>
      </w:r>
    </w:p>
    <w:p w14:paraId="60653051" w14:textId="2FB9D4B0" w:rsidR="00F179E5" w:rsidRPr="00630B55" w:rsidRDefault="0014698E" w:rsidP="00630B55">
      <w:pPr>
        <w:pStyle w:val="Heading1"/>
        <w:rPr>
          <w:lang w:val="en"/>
        </w:rPr>
      </w:pPr>
      <w:r>
        <w:rPr>
          <w:lang w:val="en"/>
        </w:rPr>
        <w:t>Announcement Contact</w:t>
      </w:r>
    </w:p>
    <w:p w14:paraId="66E48EC7" w14:textId="63FFC6C4" w:rsidR="00085E8F" w:rsidRPr="00342EF5" w:rsidRDefault="004E3BC2" w:rsidP="00630B55">
      <w:pPr>
        <w:pStyle w:val="NoSpacing"/>
        <w:rPr>
          <w:rFonts w:eastAsia="Times New Roman" w:cstheme="minorHAnsi"/>
          <w:sz w:val="24"/>
          <w:szCs w:val="24"/>
        </w:rPr>
      </w:pPr>
      <w:r w:rsidRPr="00342EF5">
        <w:rPr>
          <w:rFonts w:eastAsia="Times New Roman" w:cstheme="minorHAnsi"/>
          <w:sz w:val="24"/>
          <w:szCs w:val="24"/>
        </w:rPr>
        <w:t xml:space="preserve">For questions regarding this </w:t>
      </w:r>
      <w:r w:rsidR="00112787" w:rsidRPr="00342EF5">
        <w:rPr>
          <w:rFonts w:eastAsia="Times New Roman" w:cstheme="minorHAnsi"/>
          <w:sz w:val="24"/>
          <w:szCs w:val="24"/>
        </w:rPr>
        <w:t>C</w:t>
      </w:r>
      <w:r w:rsidRPr="00342EF5">
        <w:rPr>
          <w:rFonts w:eastAsia="Times New Roman" w:cstheme="minorHAnsi"/>
          <w:sz w:val="24"/>
          <w:szCs w:val="24"/>
        </w:rPr>
        <w:t xml:space="preserve">ures position, please contact </w:t>
      </w:r>
      <w:hyperlink r:id="rId21" w:history="1">
        <w:r w:rsidR="00085E8F" w:rsidRPr="005738A7">
          <w:rPr>
            <w:rStyle w:val="Hyperlink"/>
            <w:rFonts w:eastAsia="Times New Roman" w:cstheme="minorHAnsi"/>
            <w:sz w:val="24"/>
            <w:szCs w:val="24"/>
          </w:rPr>
          <w:t>CDEROTSHires@fda.hhs.gov</w:t>
        </w:r>
      </w:hyperlink>
      <w:r w:rsidR="000C3636">
        <w:rPr>
          <w:rStyle w:val="Hyperlink"/>
          <w:rFonts w:eastAsia="Times New Roman" w:cstheme="minorHAnsi"/>
          <w:sz w:val="24"/>
          <w:szCs w:val="24"/>
        </w:rPr>
        <w:t>.</w:t>
      </w:r>
    </w:p>
    <w:p w14:paraId="5E44F343" w14:textId="7B6379E7" w:rsidR="002A17F1" w:rsidRPr="00342EF5" w:rsidRDefault="00085E8F" w:rsidP="00630B55">
      <w:pPr>
        <w:pStyle w:val="NoSpacing"/>
        <w:rPr>
          <w:rFonts w:cstheme="minorHAnsi"/>
          <w:sz w:val="24"/>
          <w:szCs w:val="24"/>
        </w:rPr>
      </w:pPr>
      <w:r w:rsidRPr="00342EF5">
        <w:rPr>
          <w:rFonts w:eastAsia="Times New Roman" w:cstheme="minorHAnsi"/>
          <w:sz w:val="24"/>
          <w:szCs w:val="24"/>
        </w:rPr>
        <w:t xml:space="preserve"> </w:t>
      </w:r>
      <w:r w:rsidR="004E3BC2" w:rsidRPr="00342EF5">
        <w:rPr>
          <w:rFonts w:eastAsia="Times New Roman" w:cstheme="minorHAnsi"/>
          <w:color w:val="FF0000"/>
          <w:sz w:val="24"/>
          <w:szCs w:val="24"/>
        </w:rPr>
        <w:t xml:space="preserve">  </w:t>
      </w:r>
    </w:p>
    <w:p w14:paraId="16354029" w14:textId="05863C7B" w:rsidR="007B295A" w:rsidRPr="00342EF5" w:rsidRDefault="002A17F1" w:rsidP="00B63B94">
      <w:pPr>
        <w:pStyle w:val="NoSpacing"/>
        <w:jc w:val="center"/>
        <w:rPr>
          <w:rFonts w:eastAsia="Times New Roman" w:cstheme="minorHAnsi"/>
          <w:sz w:val="24"/>
          <w:szCs w:val="24"/>
        </w:rPr>
      </w:pPr>
      <w:r w:rsidRPr="00342EF5">
        <w:rPr>
          <w:rFonts w:eastAsia="Times New Roman" w:cstheme="minorHAnsi"/>
          <w:sz w:val="24"/>
          <w:szCs w:val="24"/>
        </w:rPr>
        <w:t xml:space="preserve">The </w:t>
      </w:r>
      <w:r w:rsidR="00342EF5">
        <w:rPr>
          <w:rFonts w:eastAsia="Times New Roman" w:cstheme="minorHAnsi"/>
          <w:sz w:val="24"/>
          <w:szCs w:val="24"/>
        </w:rPr>
        <w:t xml:space="preserve">U.S. </w:t>
      </w:r>
      <w:r w:rsidRPr="00342EF5">
        <w:rPr>
          <w:rFonts w:eastAsia="Times New Roman" w:cstheme="minorHAnsi"/>
          <w:sz w:val="24"/>
          <w:szCs w:val="24"/>
        </w:rPr>
        <w:t>Department of Health and Human Service</w:t>
      </w:r>
      <w:r w:rsidR="00BA1CC2" w:rsidRPr="00342EF5">
        <w:rPr>
          <w:rFonts w:eastAsia="Times New Roman" w:cstheme="minorHAnsi"/>
          <w:sz w:val="24"/>
          <w:szCs w:val="24"/>
        </w:rPr>
        <w:t>s</w:t>
      </w:r>
      <w:r w:rsidRPr="00342EF5">
        <w:rPr>
          <w:rFonts w:eastAsia="Times New Roman" w:cstheme="minorHAnsi"/>
          <w:sz w:val="24"/>
          <w:szCs w:val="24"/>
        </w:rPr>
        <w:t xml:space="preserve"> is an equal opportunity employer with a smoke free environment.</w:t>
      </w:r>
    </w:p>
    <w:p w14:paraId="13EB312D" w14:textId="6C39CE71" w:rsidR="00D82EB4" w:rsidRPr="00342EF5" w:rsidRDefault="00D82EB4" w:rsidP="00630B55">
      <w:pPr>
        <w:pStyle w:val="NoSpacing"/>
        <w:jc w:val="center"/>
        <w:rPr>
          <w:rFonts w:cstheme="minorHAnsi"/>
          <w:sz w:val="24"/>
          <w:szCs w:val="24"/>
        </w:rPr>
      </w:pPr>
    </w:p>
    <w:p w14:paraId="2954BC46" w14:textId="181FEBB9" w:rsidR="003F2625" w:rsidRPr="00342EF5" w:rsidRDefault="003F2625" w:rsidP="00630B55">
      <w:pPr>
        <w:pStyle w:val="NoSpacing"/>
        <w:jc w:val="center"/>
        <w:rPr>
          <w:rFonts w:cstheme="minorHAnsi"/>
          <w:i/>
          <w:sz w:val="24"/>
          <w:szCs w:val="24"/>
        </w:rPr>
      </w:pPr>
      <w:r w:rsidRPr="00342EF5">
        <w:rPr>
          <w:rFonts w:cstheme="minorHAnsi"/>
          <w:i/>
          <w:sz w:val="24"/>
          <w:szCs w:val="24"/>
        </w:rPr>
        <w:t>FDA is an equal opportunity employer.</w:t>
      </w:r>
    </w:p>
    <w:p w14:paraId="35166C83" w14:textId="0BE2B8C7" w:rsidR="002E358C" w:rsidRPr="00630B55" w:rsidRDefault="002E358C" w:rsidP="005738A7">
      <w:pPr>
        <w:pStyle w:val="NoSpacing"/>
        <w:rPr>
          <w:rFonts w:cstheme="minorHAnsi"/>
          <w:i/>
          <w:sz w:val="24"/>
          <w:szCs w:val="24"/>
        </w:rPr>
      </w:pPr>
    </w:p>
    <w:p w14:paraId="32C7A093" w14:textId="3A9E5F20" w:rsidR="00D82EB4" w:rsidRPr="00630B55" w:rsidRDefault="00141F34" w:rsidP="00141F34">
      <w:pPr>
        <w:pStyle w:val="NoSpacing"/>
        <w:jc w:val="center"/>
        <w:rPr>
          <w:rFonts w:cstheme="minorHAnsi"/>
          <w:sz w:val="24"/>
          <w:szCs w:val="24"/>
        </w:rPr>
      </w:pPr>
      <w:r>
        <w:rPr>
          <w:rFonts w:cstheme="minorHAnsi"/>
          <w:noProof/>
          <w:sz w:val="24"/>
          <w:szCs w:val="24"/>
        </w:rPr>
        <w:drawing>
          <wp:inline distT="0" distB="0" distL="0" distR="0" wp14:anchorId="4163F042" wp14:editId="0A31FC07">
            <wp:extent cx="871855" cy="871855"/>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pic:spPr>
                </pic:pic>
              </a:graphicData>
            </a:graphic>
          </wp:inline>
        </w:drawing>
      </w:r>
    </w:p>
    <w:p w14:paraId="2F67E465" w14:textId="3CD58C90" w:rsidR="003F2625" w:rsidRPr="00630B55" w:rsidRDefault="003F2625" w:rsidP="00630B55">
      <w:pPr>
        <w:pStyle w:val="NoSpacing"/>
        <w:rPr>
          <w:rFonts w:cstheme="minorHAnsi"/>
          <w:sz w:val="24"/>
          <w:szCs w:val="24"/>
        </w:rPr>
      </w:pPr>
    </w:p>
    <w:sectPr w:rsidR="003F2625" w:rsidRPr="00630B55" w:rsidSect="00367292">
      <w:footerReference w:type="default" r:id="rId23"/>
      <w:headerReference w:type="first" r:id="rId24"/>
      <w:footerReference w:type="first" r:id="rId25"/>
      <w:pgSz w:w="12240" w:h="15840"/>
      <w:pgMar w:top="1440" w:right="1440" w:bottom="1440" w:left="1440"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32E38" w14:textId="77777777" w:rsidR="004F11B1" w:rsidRDefault="004F11B1">
      <w:pPr>
        <w:spacing w:after="0" w:line="240" w:lineRule="auto"/>
      </w:pPr>
      <w:r>
        <w:separator/>
      </w:r>
    </w:p>
  </w:endnote>
  <w:endnote w:type="continuationSeparator" w:id="0">
    <w:p w14:paraId="1006786A" w14:textId="77777777" w:rsidR="004F11B1" w:rsidRDefault="004F1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F4D9" w14:textId="77777777" w:rsidR="003C6921" w:rsidRDefault="001E0032">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14:anchorId="419893B2" wp14:editId="1566E663">
              <wp:simplePos x="0" y="0"/>
              <wp:positionH relativeFrom="page">
                <wp:posOffset>3825875</wp:posOffset>
              </wp:positionH>
              <wp:positionV relativeFrom="page">
                <wp:posOffset>8970010</wp:posOffset>
              </wp:positionV>
              <wp:extent cx="121920" cy="165735"/>
              <wp:effectExtent l="0" t="0" r="17780" b="5715"/>
              <wp:wrapNone/>
              <wp:docPr id="1" name="Text Box 1" descr="Page number 5" title="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DE3DB" w14:textId="77777777" w:rsidR="003C6921" w:rsidRDefault="00541CB9">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B03C70">
                            <w:rPr>
                              <w:rFonts w:ascii="Calibri" w:eastAsia="Calibri" w:hAnsi="Calibri" w:cs="Calibri"/>
                              <w:noProof/>
                              <w:position w:val="1"/>
                            </w:rPr>
                            <w:t>5</w:t>
                          </w:r>
                          <w: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419893B2">
              <v:stroke joinstyle="miter"/>
              <v:path gradientshapeok="t" o:connecttype="rect"/>
            </v:shapetype>
            <v:shape id="Text Box 1" style="position:absolute;margin-left:301.25pt;margin-top:706.3pt;width:9.6pt;height:13.0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Title: Page number - Description: Page number 5"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">
              <v:textbox inset="0,0,0,0">
                <w:txbxContent>
                  <w:p w:rsidR="003C6921" w:rsidRDefault="00541CB9" w14:paraId="3EBDE3DB" w14:textId="77777777">
                    <w:pPr>
                      <w:spacing w:after="0" w:line="245" w:lineRule="exact"/>
                      <w:ind w:left="40" w:right="-20"/>
                      <w:rPr>
                        <w:rFonts w:ascii="Calibri" w:hAnsi="Calibri" w:eastAsia="Calibri" w:cs="Calibri"/>
                      </w:rPr>
                    </w:pPr>
                    <w:r>
                      <w:fldChar w:fldCharType="begin"/>
                    </w:r>
                    <w:r>
                      <w:rPr>
                        <w:rFonts w:ascii="Calibri" w:hAnsi="Calibri" w:eastAsia="Calibri" w:cs="Calibri"/>
                        <w:position w:val="1"/>
                      </w:rPr>
                      <w:instrText xml:space="preserve"> PAGE </w:instrText>
                    </w:r>
                    <w:r>
                      <w:fldChar w:fldCharType="separate"/>
                    </w:r>
                    <w:r w:rsidR="00B03C70">
                      <w:rPr>
                        <w:rFonts w:ascii="Calibri" w:hAnsi="Calibri" w:eastAsia="Calibri" w:cs="Calibri"/>
                        <w:noProof/>
                        <w:position w:val="1"/>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2C50" w14:textId="54CA4CE5" w:rsidR="00367292" w:rsidRDefault="00367292" w:rsidP="0036729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DFEE7" w14:textId="77777777" w:rsidR="004F11B1" w:rsidRDefault="004F11B1">
      <w:pPr>
        <w:spacing w:after="0" w:line="240" w:lineRule="auto"/>
      </w:pPr>
      <w:r>
        <w:separator/>
      </w:r>
    </w:p>
  </w:footnote>
  <w:footnote w:type="continuationSeparator" w:id="0">
    <w:p w14:paraId="2673E9AA" w14:textId="77777777" w:rsidR="004F11B1" w:rsidRDefault="004F1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11CA" w14:textId="4991154C" w:rsidR="00D82EB4" w:rsidRDefault="00D82EB4" w:rsidP="00D82EB4">
    <w:pPr>
      <w:pStyle w:val="Header"/>
      <w:jc w:val="center"/>
    </w:pPr>
  </w:p>
  <w:p w14:paraId="0C261FDE" w14:textId="77777777" w:rsidR="00D82EB4" w:rsidRDefault="00D82EB4" w:rsidP="00D82EB4">
    <w:pPr>
      <w:pStyle w:val="Header"/>
      <w:jc w:val="center"/>
    </w:pPr>
  </w:p>
  <w:p w14:paraId="2DA144F2" w14:textId="024706A7" w:rsidR="008775BD" w:rsidRDefault="0030622E" w:rsidP="00F354B9">
    <w:pPr>
      <w:pStyle w:val="Header"/>
      <w:jc w:val="center"/>
    </w:pPr>
    <w:r>
      <w:rPr>
        <w:noProof/>
      </w:rPr>
      <w:drawing>
        <wp:inline distT="0" distB="0" distL="0" distR="0" wp14:anchorId="79D6DAE1" wp14:editId="03C2CCED">
          <wp:extent cx="3479800" cy="829798"/>
          <wp:effectExtent l="0" t="0" r="635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DA Logo.png"/>
                  <pic:cNvPicPr/>
                </pic:nvPicPr>
                <pic:blipFill>
                  <a:blip r:embed="rId1">
                    <a:extLst>
                      <a:ext uri="{28A0092B-C50C-407E-A947-70E740481C1C}">
                        <a14:useLocalDpi xmlns:a14="http://schemas.microsoft.com/office/drawing/2010/main" val="0"/>
                      </a:ext>
                    </a:extLst>
                  </a:blip>
                  <a:stretch>
                    <a:fillRect/>
                  </a:stretch>
                </pic:blipFill>
                <pic:spPr>
                  <a:xfrm>
                    <a:off x="0" y="0"/>
                    <a:ext cx="3532326" cy="842323"/>
                  </a:xfrm>
                  <a:prstGeom prst="rect">
                    <a:avLst/>
                  </a:prstGeom>
                </pic:spPr>
              </pic:pic>
            </a:graphicData>
          </a:graphic>
        </wp:inline>
      </w:drawing>
    </w:r>
  </w:p>
  <w:p w14:paraId="1EDEB25A" w14:textId="77777777" w:rsidR="008775BD" w:rsidRDefault="00F354B9" w:rsidP="00F354B9">
    <w:pPr>
      <w:pStyle w:val="Header"/>
      <w:tabs>
        <w:tab w:val="left" w:pos="124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E367A9E"/>
    <w:lvl w:ilvl="0">
      <w:numFmt w:val="bullet"/>
      <w:lvlText w:val="*"/>
      <w:lvlJc w:val="left"/>
    </w:lvl>
  </w:abstractNum>
  <w:abstractNum w:abstractNumId="1" w15:restartNumberingAfterBreak="0">
    <w:nsid w:val="03C9683C"/>
    <w:multiLevelType w:val="hybridMultilevel"/>
    <w:tmpl w:val="43DE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25341"/>
    <w:multiLevelType w:val="hybridMultilevel"/>
    <w:tmpl w:val="7B249546"/>
    <w:lvl w:ilvl="0" w:tplc="86A4E15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56B01"/>
    <w:multiLevelType w:val="hybridMultilevel"/>
    <w:tmpl w:val="B28A0566"/>
    <w:lvl w:ilvl="0" w:tplc="04090001">
      <w:start w:val="1"/>
      <w:numFmt w:val="bullet"/>
      <w:lvlText w:val=""/>
      <w:lvlJc w:val="left"/>
      <w:pPr>
        <w:ind w:left="416" w:hanging="360"/>
      </w:pPr>
      <w:rPr>
        <w:rFonts w:ascii="Symbol" w:hAnsi="Symbol" w:hint="default"/>
      </w:rPr>
    </w:lvl>
    <w:lvl w:ilvl="1" w:tplc="04090003" w:tentative="1">
      <w:start w:val="1"/>
      <w:numFmt w:val="bullet"/>
      <w:lvlText w:val="o"/>
      <w:lvlJc w:val="left"/>
      <w:pPr>
        <w:ind w:left="1136" w:hanging="360"/>
      </w:pPr>
      <w:rPr>
        <w:rFonts w:ascii="Courier New" w:hAnsi="Courier New" w:cs="Courier New" w:hint="default"/>
      </w:rPr>
    </w:lvl>
    <w:lvl w:ilvl="2" w:tplc="04090005" w:tentative="1">
      <w:start w:val="1"/>
      <w:numFmt w:val="bullet"/>
      <w:lvlText w:val=""/>
      <w:lvlJc w:val="left"/>
      <w:pPr>
        <w:ind w:left="1856" w:hanging="360"/>
      </w:pPr>
      <w:rPr>
        <w:rFonts w:ascii="Wingdings" w:hAnsi="Wingdings" w:hint="default"/>
      </w:rPr>
    </w:lvl>
    <w:lvl w:ilvl="3" w:tplc="04090001" w:tentative="1">
      <w:start w:val="1"/>
      <w:numFmt w:val="bullet"/>
      <w:lvlText w:val=""/>
      <w:lvlJc w:val="left"/>
      <w:pPr>
        <w:ind w:left="2576" w:hanging="360"/>
      </w:pPr>
      <w:rPr>
        <w:rFonts w:ascii="Symbol" w:hAnsi="Symbol" w:hint="default"/>
      </w:rPr>
    </w:lvl>
    <w:lvl w:ilvl="4" w:tplc="04090003" w:tentative="1">
      <w:start w:val="1"/>
      <w:numFmt w:val="bullet"/>
      <w:lvlText w:val="o"/>
      <w:lvlJc w:val="left"/>
      <w:pPr>
        <w:ind w:left="3296" w:hanging="360"/>
      </w:pPr>
      <w:rPr>
        <w:rFonts w:ascii="Courier New" w:hAnsi="Courier New" w:cs="Courier New" w:hint="default"/>
      </w:rPr>
    </w:lvl>
    <w:lvl w:ilvl="5" w:tplc="04090005" w:tentative="1">
      <w:start w:val="1"/>
      <w:numFmt w:val="bullet"/>
      <w:lvlText w:val=""/>
      <w:lvlJc w:val="left"/>
      <w:pPr>
        <w:ind w:left="4016" w:hanging="360"/>
      </w:pPr>
      <w:rPr>
        <w:rFonts w:ascii="Wingdings" w:hAnsi="Wingdings" w:hint="default"/>
      </w:rPr>
    </w:lvl>
    <w:lvl w:ilvl="6" w:tplc="04090001" w:tentative="1">
      <w:start w:val="1"/>
      <w:numFmt w:val="bullet"/>
      <w:lvlText w:val=""/>
      <w:lvlJc w:val="left"/>
      <w:pPr>
        <w:ind w:left="4736" w:hanging="360"/>
      </w:pPr>
      <w:rPr>
        <w:rFonts w:ascii="Symbol" w:hAnsi="Symbol" w:hint="default"/>
      </w:rPr>
    </w:lvl>
    <w:lvl w:ilvl="7" w:tplc="04090003" w:tentative="1">
      <w:start w:val="1"/>
      <w:numFmt w:val="bullet"/>
      <w:lvlText w:val="o"/>
      <w:lvlJc w:val="left"/>
      <w:pPr>
        <w:ind w:left="5456" w:hanging="360"/>
      </w:pPr>
      <w:rPr>
        <w:rFonts w:ascii="Courier New" w:hAnsi="Courier New" w:cs="Courier New" w:hint="default"/>
      </w:rPr>
    </w:lvl>
    <w:lvl w:ilvl="8" w:tplc="04090005" w:tentative="1">
      <w:start w:val="1"/>
      <w:numFmt w:val="bullet"/>
      <w:lvlText w:val=""/>
      <w:lvlJc w:val="left"/>
      <w:pPr>
        <w:ind w:left="6176" w:hanging="360"/>
      </w:pPr>
      <w:rPr>
        <w:rFonts w:ascii="Wingdings" w:hAnsi="Wingdings" w:hint="default"/>
      </w:rPr>
    </w:lvl>
  </w:abstractNum>
  <w:abstractNum w:abstractNumId="4" w15:restartNumberingAfterBreak="0">
    <w:nsid w:val="16EB6BF7"/>
    <w:multiLevelType w:val="hybridMultilevel"/>
    <w:tmpl w:val="8174E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40CD4"/>
    <w:multiLevelType w:val="hybridMultilevel"/>
    <w:tmpl w:val="C3400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922F84"/>
    <w:multiLevelType w:val="hybridMultilevel"/>
    <w:tmpl w:val="45BA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A1640"/>
    <w:multiLevelType w:val="hybridMultilevel"/>
    <w:tmpl w:val="FDBA8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665D45"/>
    <w:multiLevelType w:val="hybridMultilevel"/>
    <w:tmpl w:val="BA12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C4601E"/>
    <w:multiLevelType w:val="hybridMultilevel"/>
    <w:tmpl w:val="C25E0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48401FB"/>
    <w:multiLevelType w:val="multilevel"/>
    <w:tmpl w:val="47EC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01B6C"/>
    <w:multiLevelType w:val="hybridMultilevel"/>
    <w:tmpl w:val="BDBEA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820C6"/>
    <w:multiLevelType w:val="hybridMultilevel"/>
    <w:tmpl w:val="7F9E5858"/>
    <w:lvl w:ilvl="0" w:tplc="8334DD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B136F"/>
    <w:multiLevelType w:val="hybridMultilevel"/>
    <w:tmpl w:val="E1867D82"/>
    <w:lvl w:ilvl="0" w:tplc="C65409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E61C8A"/>
    <w:multiLevelType w:val="hybridMultilevel"/>
    <w:tmpl w:val="ED022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DC01C5"/>
    <w:multiLevelType w:val="multilevel"/>
    <w:tmpl w:val="C8C01050"/>
    <w:lvl w:ilvl="0">
      <w:start w:val="1"/>
      <w:numFmt w:val="upperLetter"/>
      <w:pStyle w:val="ListNumber"/>
      <w:lvlText w:val="%1."/>
      <w:lvlJc w:val="left"/>
      <w:pPr>
        <w:ind w:left="360" w:hanging="360"/>
      </w:pPr>
    </w:lvl>
    <w:lvl w:ilvl="1">
      <w:start w:val="1"/>
      <w:numFmt w:val="decimal"/>
      <w:pStyle w:val="ListNumber2"/>
      <w:lvlText w:val="%2."/>
      <w:lvlJc w:val="left"/>
      <w:pPr>
        <w:ind w:left="720" w:hanging="360"/>
      </w:pPr>
    </w:lvl>
    <w:lvl w:ilvl="2">
      <w:start w:val="1"/>
      <w:numFmt w:val="lowerLetter"/>
      <w:pStyle w:val="ListNumber3"/>
      <w:lvlText w:val="%3."/>
      <w:lvlJc w:val="left"/>
      <w:pPr>
        <w:ind w:left="1080" w:hanging="360"/>
      </w:pPr>
    </w:lvl>
    <w:lvl w:ilvl="3">
      <w:start w:val="1"/>
      <w:numFmt w:val="decimal"/>
      <w:pStyle w:val="ListNumber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33A7CBD"/>
    <w:multiLevelType w:val="hybridMultilevel"/>
    <w:tmpl w:val="ECFCFD60"/>
    <w:lvl w:ilvl="0" w:tplc="0F826E9C">
      <w:start w:val="1"/>
      <w:numFmt w:val="upperLetter"/>
      <w:lvlText w:val="%1."/>
      <w:lvlJc w:val="left"/>
      <w:pPr>
        <w:ind w:left="720" w:hanging="360"/>
      </w:pPr>
      <w:rPr>
        <w:rFonts w:cstheme="minorHAnsi" w:hint="default"/>
        <w:b/>
        <w:color w:val="3636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003235"/>
    <w:multiLevelType w:val="hybridMultilevel"/>
    <w:tmpl w:val="C1E05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2C55E6"/>
    <w:multiLevelType w:val="hybridMultilevel"/>
    <w:tmpl w:val="991E86FC"/>
    <w:lvl w:ilvl="0" w:tplc="FBFEEF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16ED7"/>
    <w:multiLevelType w:val="multilevel"/>
    <w:tmpl w:val="1AE8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5E637C"/>
    <w:multiLevelType w:val="hybridMultilevel"/>
    <w:tmpl w:val="C30EA24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A43F57"/>
    <w:multiLevelType w:val="hybridMultilevel"/>
    <w:tmpl w:val="61E89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AF68BD"/>
    <w:multiLevelType w:val="hybridMultilevel"/>
    <w:tmpl w:val="BA664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0B4B92"/>
    <w:multiLevelType w:val="hybridMultilevel"/>
    <w:tmpl w:val="BC0CB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983663"/>
    <w:multiLevelType w:val="hybridMultilevel"/>
    <w:tmpl w:val="80F82090"/>
    <w:lvl w:ilvl="0" w:tplc="86A4E15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24346F"/>
    <w:multiLevelType w:val="hybridMultilevel"/>
    <w:tmpl w:val="85323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1F84E3C"/>
    <w:multiLevelType w:val="hybridMultilevel"/>
    <w:tmpl w:val="F056D158"/>
    <w:lvl w:ilvl="0" w:tplc="D8CA482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846D29"/>
    <w:multiLevelType w:val="hybridMultilevel"/>
    <w:tmpl w:val="61B6E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9F02135"/>
    <w:multiLevelType w:val="hybridMultilevel"/>
    <w:tmpl w:val="62DAC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E6763"/>
    <w:multiLevelType w:val="hybridMultilevel"/>
    <w:tmpl w:val="3BD00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DA07DF"/>
    <w:multiLevelType w:val="hybridMultilevel"/>
    <w:tmpl w:val="5176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633D40"/>
    <w:multiLevelType w:val="hybridMultilevel"/>
    <w:tmpl w:val="FBAC9F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BE4C32"/>
    <w:multiLevelType w:val="hybridMultilevel"/>
    <w:tmpl w:val="D4008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CF4B25"/>
    <w:multiLevelType w:val="hybridMultilevel"/>
    <w:tmpl w:val="05BA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D44F60"/>
    <w:multiLevelType w:val="multilevel"/>
    <w:tmpl w:val="9490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F97C7B"/>
    <w:multiLevelType w:val="hybridMultilevel"/>
    <w:tmpl w:val="4DB226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7775ED"/>
    <w:multiLevelType w:val="hybridMultilevel"/>
    <w:tmpl w:val="C2CEE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4303825"/>
    <w:multiLevelType w:val="hybridMultilevel"/>
    <w:tmpl w:val="2C1CBC32"/>
    <w:lvl w:ilvl="0" w:tplc="04090001">
      <w:start w:val="1"/>
      <w:numFmt w:val="bullet"/>
      <w:lvlText w:val=""/>
      <w:lvlJc w:val="left"/>
      <w:pPr>
        <w:tabs>
          <w:tab w:val="num" w:pos="720"/>
        </w:tabs>
        <w:ind w:left="720" w:hanging="360"/>
      </w:pPr>
      <w:rPr>
        <w:rFonts w:ascii="Symbol" w:hAnsi="Symbol" w:hint="default"/>
      </w:rPr>
    </w:lvl>
    <w:lvl w:ilvl="1" w:tplc="44B2C492">
      <w:numFmt w:val="bullet"/>
      <w:lvlText w:val=""/>
      <w:lvlJc w:val="left"/>
      <w:pPr>
        <w:tabs>
          <w:tab w:val="num" w:pos="1440"/>
        </w:tabs>
        <w:ind w:left="1440" w:hanging="360"/>
      </w:pPr>
      <w:rPr>
        <w:rFonts w:ascii="Wingdings" w:eastAsia="Wingdings" w:hAnsi="Wingdings" w:cs="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4A9438D"/>
    <w:multiLevelType w:val="hybridMultilevel"/>
    <w:tmpl w:val="781EA6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E4E37E1"/>
    <w:multiLevelType w:val="hybridMultilevel"/>
    <w:tmpl w:val="FFA2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6050C6"/>
    <w:multiLevelType w:val="hybridMultilevel"/>
    <w:tmpl w:val="00AAB444"/>
    <w:lvl w:ilvl="0" w:tplc="04090001">
      <w:start w:val="1"/>
      <w:numFmt w:val="bullet"/>
      <w:lvlText w:val=""/>
      <w:lvlJc w:val="left"/>
      <w:pPr>
        <w:ind w:left="720" w:hanging="360"/>
      </w:pPr>
      <w:rPr>
        <w:rFonts w:ascii="Symbol" w:hAnsi="Symbol" w:hint="default"/>
      </w:rPr>
    </w:lvl>
    <w:lvl w:ilvl="1" w:tplc="495E0EF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940353">
    <w:abstractNumId w:val="38"/>
  </w:num>
  <w:num w:numId="2" w16cid:durableId="610283115">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7355561">
    <w:abstractNumId w:val="18"/>
  </w:num>
  <w:num w:numId="4" w16cid:durableId="1406537091">
    <w:abstractNumId w:val="25"/>
  </w:num>
  <w:num w:numId="5" w16cid:durableId="2130200488">
    <w:abstractNumId w:val="5"/>
  </w:num>
  <w:num w:numId="6" w16cid:durableId="440035048">
    <w:abstractNumId w:val="8"/>
  </w:num>
  <w:num w:numId="7" w16cid:durableId="1280604485">
    <w:abstractNumId w:val="11"/>
  </w:num>
  <w:num w:numId="8" w16cid:durableId="599030676">
    <w:abstractNumId w:val="31"/>
  </w:num>
  <w:num w:numId="9" w16cid:durableId="114092418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2075882828">
    <w:abstractNumId w:val="36"/>
  </w:num>
  <w:num w:numId="11" w16cid:durableId="836308482">
    <w:abstractNumId w:val="19"/>
  </w:num>
  <w:num w:numId="12" w16cid:durableId="1055196619">
    <w:abstractNumId w:val="23"/>
  </w:num>
  <w:num w:numId="13" w16cid:durableId="1312639280">
    <w:abstractNumId w:val="30"/>
  </w:num>
  <w:num w:numId="14" w16cid:durableId="1382287913">
    <w:abstractNumId w:val="27"/>
  </w:num>
  <w:num w:numId="15" w16cid:durableId="1687637408">
    <w:abstractNumId w:val="21"/>
  </w:num>
  <w:num w:numId="16" w16cid:durableId="327751543">
    <w:abstractNumId w:val="29"/>
  </w:num>
  <w:num w:numId="17" w16cid:durableId="876086100">
    <w:abstractNumId w:val="7"/>
  </w:num>
  <w:num w:numId="18" w16cid:durableId="1271863944">
    <w:abstractNumId w:val="32"/>
  </w:num>
  <w:num w:numId="19" w16cid:durableId="526338505">
    <w:abstractNumId w:val="3"/>
  </w:num>
  <w:num w:numId="20" w16cid:durableId="877856926">
    <w:abstractNumId w:val="40"/>
  </w:num>
  <w:num w:numId="21" w16cid:durableId="952904280">
    <w:abstractNumId w:val="12"/>
  </w:num>
  <w:num w:numId="22" w16cid:durableId="796533840">
    <w:abstractNumId w:val="20"/>
  </w:num>
  <w:num w:numId="23" w16cid:durableId="1048996193">
    <w:abstractNumId w:val="39"/>
  </w:num>
  <w:num w:numId="24" w16cid:durableId="529996828">
    <w:abstractNumId w:val="14"/>
  </w:num>
  <w:num w:numId="25" w16cid:durableId="1213158384">
    <w:abstractNumId w:val="34"/>
  </w:num>
  <w:num w:numId="26" w16cid:durableId="1653604352">
    <w:abstractNumId w:val="10"/>
  </w:num>
  <w:num w:numId="27" w16cid:durableId="702750739">
    <w:abstractNumId w:val="26"/>
  </w:num>
  <w:num w:numId="28" w16cid:durableId="13717589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8517912">
    <w:abstractNumId w:val="35"/>
  </w:num>
  <w:num w:numId="30" w16cid:durableId="122694011">
    <w:abstractNumId w:val="33"/>
  </w:num>
  <w:num w:numId="31" w16cid:durableId="1580752272">
    <w:abstractNumId w:val="4"/>
  </w:num>
  <w:num w:numId="32" w16cid:durableId="1634404819">
    <w:abstractNumId w:val="28"/>
  </w:num>
  <w:num w:numId="33" w16cid:durableId="1633368972">
    <w:abstractNumId w:val="24"/>
  </w:num>
  <w:num w:numId="34" w16cid:durableId="1874733093">
    <w:abstractNumId w:val="2"/>
  </w:num>
  <w:num w:numId="35" w16cid:durableId="1555502953">
    <w:abstractNumId w:val="16"/>
  </w:num>
  <w:num w:numId="36" w16cid:durableId="198132757">
    <w:abstractNumId w:val="13"/>
  </w:num>
  <w:num w:numId="37" w16cid:durableId="1037045945">
    <w:abstractNumId w:val="9"/>
  </w:num>
  <w:num w:numId="38" w16cid:durableId="1787461118">
    <w:abstractNumId w:val="6"/>
  </w:num>
  <w:num w:numId="39" w16cid:durableId="137692773">
    <w:abstractNumId w:val="22"/>
  </w:num>
  <w:num w:numId="40" w16cid:durableId="358893225">
    <w:abstractNumId w:val="1"/>
  </w:num>
  <w:num w:numId="41" w16cid:durableId="11515573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21"/>
    <w:rsid w:val="00002542"/>
    <w:rsid w:val="00033186"/>
    <w:rsid w:val="00040CF3"/>
    <w:rsid w:val="00071F95"/>
    <w:rsid w:val="000839F7"/>
    <w:rsid w:val="00085E8F"/>
    <w:rsid w:val="000959AB"/>
    <w:rsid w:val="000A3C6E"/>
    <w:rsid w:val="000B19BD"/>
    <w:rsid w:val="000C3636"/>
    <w:rsid w:val="000C7D05"/>
    <w:rsid w:val="000E5CD1"/>
    <w:rsid w:val="000F5C01"/>
    <w:rsid w:val="00112787"/>
    <w:rsid w:val="00123BF1"/>
    <w:rsid w:val="001270FC"/>
    <w:rsid w:val="00130678"/>
    <w:rsid w:val="00130BC8"/>
    <w:rsid w:val="001332F8"/>
    <w:rsid w:val="00135231"/>
    <w:rsid w:val="001378C9"/>
    <w:rsid w:val="00140784"/>
    <w:rsid w:val="00140DCD"/>
    <w:rsid w:val="00141F34"/>
    <w:rsid w:val="0014698E"/>
    <w:rsid w:val="001478B3"/>
    <w:rsid w:val="00155D2A"/>
    <w:rsid w:val="00156DA4"/>
    <w:rsid w:val="00157EB8"/>
    <w:rsid w:val="00180EFC"/>
    <w:rsid w:val="001853C8"/>
    <w:rsid w:val="001871F7"/>
    <w:rsid w:val="00190BF1"/>
    <w:rsid w:val="001A0539"/>
    <w:rsid w:val="001A26E6"/>
    <w:rsid w:val="001A2A93"/>
    <w:rsid w:val="001A7E8C"/>
    <w:rsid w:val="001B418D"/>
    <w:rsid w:val="001D2AF0"/>
    <w:rsid w:val="001E0032"/>
    <w:rsid w:val="002145C9"/>
    <w:rsid w:val="00217299"/>
    <w:rsid w:val="002212FB"/>
    <w:rsid w:val="00231CD6"/>
    <w:rsid w:val="0024621E"/>
    <w:rsid w:val="00255631"/>
    <w:rsid w:val="00264D31"/>
    <w:rsid w:val="00273703"/>
    <w:rsid w:val="00285D60"/>
    <w:rsid w:val="002874F7"/>
    <w:rsid w:val="0029674D"/>
    <w:rsid w:val="00297402"/>
    <w:rsid w:val="002A0CF2"/>
    <w:rsid w:val="002A17F1"/>
    <w:rsid w:val="002A1F91"/>
    <w:rsid w:val="002B2A67"/>
    <w:rsid w:val="002B4550"/>
    <w:rsid w:val="002B4BAC"/>
    <w:rsid w:val="002C13FE"/>
    <w:rsid w:val="002C558D"/>
    <w:rsid w:val="002C69B5"/>
    <w:rsid w:val="002E358C"/>
    <w:rsid w:val="002E38D8"/>
    <w:rsid w:val="0030493F"/>
    <w:rsid w:val="0030622E"/>
    <w:rsid w:val="00327BAB"/>
    <w:rsid w:val="00333680"/>
    <w:rsid w:val="00334F93"/>
    <w:rsid w:val="003379BC"/>
    <w:rsid w:val="00341A5D"/>
    <w:rsid w:val="00342EF5"/>
    <w:rsid w:val="003521A6"/>
    <w:rsid w:val="003662E4"/>
    <w:rsid w:val="00367292"/>
    <w:rsid w:val="00373399"/>
    <w:rsid w:val="00373F1F"/>
    <w:rsid w:val="0037421F"/>
    <w:rsid w:val="00394D33"/>
    <w:rsid w:val="00397CB0"/>
    <w:rsid w:val="003A2E0D"/>
    <w:rsid w:val="003B38DF"/>
    <w:rsid w:val="003C4B26"/>
    <w:rsid w:val="003C6921"/>
    <w:rsid w:val="003D7977"/>
    <w:rsid w:val="003F2625"/>
    <w:rsid w:val="003F49DC"/>
    <w:rsid w:val="00410C85"/>
    <w:rsid w:val="00417CC6"/>
    <w:rsid w:val="004236F6"/>
    <w:rsid w:val="0042743B"/>
    <w:rsid w:val="00465A21"/>
    <w:rsid w:val="00470259"/>
    <w:rsid w:val="00470A65"/>
    <w:rsid w:val="00472CA1"/>
    <w:rsid w:val="00486EA0"/>
    <w:rsid w:val="004A40AA"/>
    <w:rsid w:val="004C54F0"/>
    <w:rsid w:val="004C5DB2"/>
    <w:rsid w:val="004D58C3"/>
    <w:rsid w:val="004D79DD"/>
    <w:rsid w:val="004E1AF6"/>
    <w:rsid w:val="004E3BC2"/>
    <w:rsid w:val="004E6CAB"/>
    <w:rsid w:val="004F11B1"/>
    <w:rsid w:val="004F76BA"/>
    <w:rsid w:val="0050149F"/>
    <w:rsid w:val="0050187B"/>
    <w:rsid w:val="005237AF"/>
    <w:rsid w:val="00534D86"/>
    <w:rsid w:val="00535F5D"/>
    <w:rsid w:val="00541CB9"/>
    <w:rsid w:val="005607A9"/>
    <w:rsid w:val="005643E5"/>
    <w:rsid w:val="005645F8"/>
    <w:rsid w:val="005669A0"/>
    <w:rsid w:val="005738A7"/>
    <w:rsid w:val="0058080D"/>
    <w:rsid w:val="005808C9"/>
    <w:rsid w:val="005810EE"/>
    <w:rsid w:val="005853EC"/>
    <w:rsid w:val="00595F2F"/>
    <w:rsid w:val="005B65C4"/>
    <w:rsid w:val="005C2CB7"/>
    <w:rsid w:val="005C3122"/>
    <w:rsid w:val="005D5AC8"/>
    <w:rsid w:val="005F6D88"/>
    <w:rsid w:val="00606C9D"/>
    <w:rsid w:val="00612230"/>
    <w:rsid w:val="00617451"/>
    <w:rsid w:val="00623A53"/>
    <w:rsid w:val="0062414A"/>
    <w:rsid w:val="00630B55"/>
    <w:rsid w:val="00660C61"/>
    <w:rsid w:val="00662D37"/>
    <w:rsid w:val="006752CD"/>
    <w:rsid w:val="0069116F"/>
    <w:rsid w:val="00696904"/>
    <w:rsid w:val="00696EC1"/>
    <w:rsid w:val="006A45F2"/>
    <w:rsid w:val="006B187E"/>
    <w:rsid w:val="006C4C79"/>
    <w:rsid w:val="006C7307"/>
    <w:rsid w:val="006C7742"/>
    <w:rsid w:val="006D4473"/>
    <w:rsid w:val="006D76C8"/>
    <w:rsid w:val="006E779D"/>
    <w:rsid w:val="006F3B7E"/>
    <w:rsid w:val="00706DCD"/>
    <w:rsid w:val="00712AED"/>
    <w:rsid w:val="00727289"/>
    <w:rsid w:val="00737509"/>
    <w:rsid w:val="007472F0"/>
    <w:rsid w:val="00757502"/>
    <w:rsid w:val="0076213B"/>
    <w:rsid w:val="00763078"/>
    <w:rsid w:val="007658A2"/>
    <w:rsid w:val="00772AD3"/>
    <w:rsid w:val="0077312C"/>
    <w:rsid w:val="00780550"/>
    <w:rsid w:val="007959D4"/>
    <w:rsid w:val="00796544"/>
    <w:rsid w:val="007A13E0"/>
    <w:rsid w:val="007A1A77"/>
    <w:rsid w:val="007B295A"/>
    <w:rsid w:val="007B3F87"/>
    <w:rsid w:val="007B66CC"/>
    <w:rsid w:val="007B7C31"/>
    <w:rsid w:val="007D7C7A"/>
    <w:rsid w:val="007F3BAA"/>
    <w:rsid w:val="007F777A"/>
    <w:rsid w:val="00805B20"/>
    <w:rsid w:val="008102CA"/>
    <w:rsid w:val="00815C38"/>
    <w:rsid w:val="00816010"/>
    <w:rsid w:val="00817E0A"/>
    <w:rsid w:val="00835945"/>
    <w:rsid w:val="008666E5"/>
    <w:rsid w:val="00867834"/>
    <w:rsid w:val="008775BD"/>
    <w:rsid w:val="00890052"/>
    <w:rsid w:val="00891EEA"/>
    <w:rsid w:val="008A14D8"/>
    <w:rsid w:val="008A6E6D"/>
    <w:rsid w:val="008C5021"/>
    <w:rsid w:val="008D00B5"/>
    <w:rsid w:val="008D2A8A"/>
    <w:rsid w:val="008E516C"/>
    <w:rsid w:val="008F6DB9"/>
    <w:rsid w:val="00900B66"/>
    <w:rsid w:val="0090270D"/>
    <w:rsid w:val="00912541"/>
    <w:rsid w:val="009206E2"/>
    <w:rsid w:val="0093384F"/>
    <w:rsid w:val="0093564E"/>
    <w:rsid w:val="00937B29"/>
    <w:rsid w:val="00947E35"/>
    <w:rsid w:val="009509AB"/>
    <w:rsid w:val="0095247E"/>
    <w:rsid w:val="009526FC"/>
    <w:rsid w:val="00973D1F"/>
    <w:rsid w:val="00995E8C"/>
    <w:rsid w:val="009976B8"/>
    <w:rsid w:val="009A7783"/>
    <w:rsid w:val="009B2699"/>
    <w:rsid w:val="009B39F9"/>
    <w:rsid w:val="009B4514"/>
    <w:rsid w:val="009C4506"/>
    <w:rsid w:val="009C4870"/>
    <w:rsid w:val="009E3384"/>
    <w:rsid w:val="009E3F0C"/>
    <w:rsid w:val="009E5CA7"/>
    <w:rsid w:val="009F2FC8"/>
    <w:rsid w:val="009F6086"/>
    <w:rsid w:val="00A02006"/>
    <w:rsid w:val="00A1753C"/>
    <w:rsid w:val="00A255E7"/>
    <w:rsid w:val="00A512A8"/>
    <w:rsid w:val="00A6602D"/>
    <w:rsid w:val="00A70176"/>
    <w:rsid w:val="00A83CE9"/>
    <w:rsid w:val="00AA2D7E"/>
    <w:rsid w:val="00AC6BA0"/>
    <w:rsid w:val="00AD2B40"/>
    <w:rsid w:val="00AD6AB8"/>
    <w:rsid w:val="00AD6E05"/>
    <w:rsid w:val="00AE38A8"/>
    <w:rsid w:val="00AF042D"/>
    <w:rsid w:val="00B01DF0"/>
    <w:rsid w:val="00B023CE"/>
    <w:rsid w:val="00B03C70"/>
    <w:rsid w:val="00B101D5"/>
    <w:rsid w:val="00B1085A"/>
    <w:rsid w:val="00B22C15"/>
    <w:rsid w:val="00B2484F"/>
    <w:rsid w:val="00B356FC"/>
    <w:rsid w:val="00B40155"/>
    <w:rsid w:val="00B40B3E"/>
    <w:rsid w:val="00B40D53"/>
    <w:rsid w:val="00B47441"/>
    <w:rsid w:val="00B57DAF"/>
    <w:rsid w:val="00B61B14"/>
    <w:rsid w:val="00B63B94"/>
    <w:rsid w:val="00B76DA5"/>
    <w:rsid w:val="00BA1CC2"/>
    <w:rsid w:val="00BB11BC"/>
    <w:rsid w:val="00BB3E96"/>
    <w:rsid w:val="00BD1F9A"/>
    <w:rsid w:val="00BD3F2D"/>
    <w:rsid w:val="00BE35DA"/>
    <w:rsid w:val="00BF7547"/>
    <w:rsid w:val="00C002CF"/>
    <w:rsid w:val="00C045FD"/>
    <w:rsid w:val="00C10BC7"/>
    <w:rsid w:val="00C679FC"/>
    <w:rsid w:val="00C7107F"/>
    <w:rsid w:val="00CA00C1"/>
    <w:rsid w:val="00CA7BAF"/>
    <w:rsid w:val="00D0265C"/>
    <w:rsid w:val="00D07E2E"/>
    <w:rsid w:val="00D16288"/>
    <w:rsid w:val="00D1686B"/>
    <w:rsid w:val="00D25A0A"/>
    <w:rsid w:val="00D33169"/>
    <w:rsid w:val="00D3392F"/>
    <w:rsid w:val="00D35CA8"/>
    <w:rsid w:val="00D418CC"/>
    <w:rsid w:val="00D539A9"/>
    <w:rsid w:val="00D54A3E"/>
    <w:rsid w:val="00D62813"/>
    <w:rsid w:val="00D82EB4"/>
    <w:rsid w:val="00D831AB"/>
    <w:rsid w:val="00D91DC4"/>
    <w:rsid w:val="00DB03C6"/>
    <w:rsid w:val="00DB0F08"/>
    <w:rsid w:val="00DB15A0"/>
    <w:rsid w:val="00DC510B"/>
    <w:rsid w:val="00DC70B2"/>
    <w:rsid w:val="00DD374F"/>
    <w:rsid w:val="00DD3B59"/>
    <w:rsid w:val="00DD4782"/>
    <w:rsid w:val="00DF0A6B"/>
    <w:rsid w:val="00E112AA"/>
    <w:rsid w:val="00E158EE"/>
    <w:rsid w:val="00E15C05"/>
    <w:rsid w:val="00E24171"/>
    <w:rsid w:val="00E26345"/>
    <w:rsid w:val="00E31254"/>
    <w:rsid w:val="00E32E39"/>
    <w:rsid w:val="00E36473"/>
    <w:rsid w:val="00E513DA"/>
    <w:rsid w:val="00E51B7B"/>
    <w:rsid w:val="00E57B7B"/>
    <w:rsid w:val="00E61490"/>
    <w:rsid w:val="00E71FDA"/>
    <w:rsid w:val="00E82CB3"/>
    <w:rsid w:val="00E83DE6"/>
    <w:rsid w:val="00E93D9D"/>
    <w:rsid w:val="00EA34A6"/>
    <w:rsid w:val="00EA4142"/>
    <w:rsid w:val="00EB20C7"/>
    <w:rsid w:val="00EB21E7"/>
    <w:rsid w:val="00EC44A5"/>
    <w:rsid w:val="00ED2EC9"/>
    <w:rsid w:val="00ED6A87"/>
    <w:rsid w:val="00EE3A0E"/>
    <w:rsid w:val="00EE5F13"/>
    <w:rsid w:val="00EE5F9D"/>
    <w:rsid w:val="00EF5D15"/>
    <w:rsid w:val="00EF7E02"/>
    <w:rsid w:val="00F15809"/>
    <w:rsid w:val="00F179E5"/>
    <w:rsid w:val="00F20FBF"/>
    <w:rsid w:val="00F23440"/>
    <w:rsid w:val="00F23D40"/>
    <w:rsid w:val="00F308CF"/>
    <w:rsid w:val="00F3196A"/>
    <w:rsid w:val="00F354B9"/>
    <w:rsid w:val="00F509DA"/>
    <w:rsid w:val="00F6136E"/>
    <w:rsid w:val="00F64FDC"/>
    <w:rsid w:val="00F67914"/>
    <w:rsid w:val="00F80F89"/>
    <w:rsid w:val="00F835F6"/>
    <w:rsid w:val="00F865BE"/>
    <w:rsid w:val="00F92B70"/>
    <w:rsid w:val="00F93A1E"/>
    <w:rsid w:val="00FA095B"/>
    <w:rsid w:val="00FA4380"/>
    <w:rsid w:val="00FB1690"/>
    <w:rsid w:val="00FB3CAF"/>
    <w:rsid w:val="00FB5CF5"/>
    <w:rsid w:val="00FC0136"/>
    <w:rsid w:val="00FC0566"/>
    <w:rsid w:val="00FE2E81"/>
    <w:rsid w:val="00FF1E10"/>
    <w:rsid w:val="00FF77B5"/>
    <w:rsid w:val="0EC5BE9E"/>
    <w:rsid w:val="2F1B123D"/>
    <w:rsid w:val="44191A89"/>
    <w:rsid w:val="4D9A4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5467B"/>
  <w15:docId w15:val="{835F2207-59B5-4326-9F00-B4427FCF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D831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30622E"/>
    <w:pPr>
      <w:widowControl/>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312C"/>
    <w:pPr>
      <w:spacing w:after="0" w:line="240" w:lineRule="auto"/>
    </w:pPr>
  </w:style>
  <w:style w:type="paragraph" w:styleId="NormalWeb">
    <w:name w:val="Normal (Web)"/>
    <w:basedOn w:val="Normal"/>
    <w:uiPriority w:val="99"/>
    <w:unhideWhenUsed/>
    <w:rsid w:val="005C2CB7"/>
    <w:pPr>
      <w:widowControl/>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9526FC"/>
    <w:rPr>
      <w:color w:val="0000FF"/>
      <w:u w:val="single"/>
    </w:rPr>
  </w:style>
  <w:style w:type="character" w:styleId="Strong">
    <w:name w:val="Strong"/>
    <w:uiPriority w:val="22"/>
    <w:qFormat/>
    <w:rsid w:val="009526FC"/>
    <w:rPr>
      <w:b/>
      <w:bCs/>
    </w:rPr>
  </w:style>
  <w:style w:type="paragraph" w:styleId="Header">
    <w:name w:val="header"/>
    <w:basedOn w:val="Normal"/>
    <w:link w:val="HeaderChar"/>
    <w:uiPriority w:val="99"/>
    <w:unhideWhenUsed/>
    <w:rsid w:val="00772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AD3"/>
  </w:style>
  <w:style w:type="paragraph" w:styleId="Footer">
    <w:name w:val="footer"/>
    <w:basedOn w:val="Normal"/>
    <w:link w:val="FooterChar"/>
    <w:uiPriority w:val="99"/>
    <w:unhideWhenUsed/>
    <w:rsid w:val="00772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AD3"/>
  </w:style>
  <w:style w:type="paragraph" w:styleId="BalloonText">
    <w:name w:val="Balloon Text"/>
    <w:basedOn w:val="Normal"/>
    <w:link w:val="BalloonTextChar"/>
    <w:uiPriority w:val="99"/>
    <w:semiHidden/>
    <w:unhideWhenUsed/>
    <w:rsid w:val="00952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47E"/>
    <w:rPr>
      <w:rFonts w:ascii="Tahoma" w:hAnsi="Tahoma" w:cs="Tahoma"/>
      <w:sz w:val="16"/>
      <w:szCs w:val="16"/>
    </w:rPr>
  </w:style>
  <w:style w:type="paragraph" w:styleId="ListParagraph">
    <w:name w:val="List Paragraph"/>
    <w:basedOn w:val="Normal"/>
    <w:uiPriority w:val="34"/>
    <w:qFormat/>
    <w:rsid w:val="00900B66"/>
    <w:pPr>
      <w:spacing w:after="0" w:line="240" w:lineRule="auto"/>
    </w:pPr>
  </w:style>
  <w:style w:type="character" w:styleId="CommentReference">
    <w:name w:val="annotation reference"/>
    <w:basedOn w:val="DefaultParagraphFont"/>
    <w:uiPriority w:val="99"/>
    <w:semiHidden/>
    <w:rsid w:val="00394D33"/>
    <w:rPr>
      <w:rFonts w:cs="Times New Roman"/>
      <w:sz w:val="16"/>
      <w:szCs w:val="16"/>
    </w:rPr>
  </w:style>
  <w:style w:type="paragraph" w:styleId="CommentText">
    <w:name w:val="annotation text"/>
    <w:basedOn w:val="Normal"/>
    <w:link w:val="CommentTextChar1"/>
    <w:uiPriority w:val="99"/>
    <w:semiHidden/>
    <w:rsid w:val="00394D33"/>
    <w:pPr>
      <w:overflowPunct w:val="0"/>
      <w:autoSpaceDE w:val="0"/>
      <w:autoSpaceDN w:val="0"/>
      <w:adjustRightInd w:val="0"/>
      <w:spacing w:after="0" w:line="240" w:lineRule="auto"/>
      <w:textAlignment w:val="baseline"/>
    </w:pPr>
    <w:rPr>
      <w:rFonts w:eastAsia="Times New Roman" w:cs="Book Antiqua"/>
      <w:sz w:val="20"/>
      <w:szCs w:val="20"/>
    </w:rPr>
  </w:style>
  <w:style w:type="character" w:customStyle="1" w:styleId="CommentTextChar">
    <w:name w:val="Comment Text Char"/>
    <w:basedOn w:val="DefaultParagraphFont"/>
    <w:uiPriority w:val="99"/>
    <w:semiHidden/>
    <w:rsid w:val="00394D33"/>
    <w:rPr>
      <w:sz w:val="20"/>
      <w:szCs w:val="20"/>
    </w:rPr>
  </w:style>
  <w:style w:type="character" w:customStyle="1" w:styleId="CommentTextChar1">
    <w:name w:val="Comment Text Char1"/>
    <w:basedOn w:val="DefaultParagraphFont"/>
    <w:link w:val="CommentText"/>
    <w:uiPriority w:val="99"/>
    <w:semiHidden/>
    <w:rsid w:val="00394D33"/>
    <w:rPr>
      <w:rFonts w:eastAsia="Times New Roman" w:cs="Book Antiqua"/>
      <w:sz w:val="20"/>
      <w:szCs w:val="20"/>
    </w:rPr>
  </w:style>
  <w:style w:type="paragraph" w:customStyle="1" w:styleId="Default">
    <w:name w:val="Default"/>
    <w:rsid w:val="00815C38"/>
    <w:pPr>
      <w:widowControl/>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5F6D88"/>
    <w:pPr>
      <w:spacing w:after="0" w:line="240" w:lineRule="auto"/>
      <w:ind w:left="56"/>
    </w:pPr>
    <w:rPr>
      <w:rFonts w:ascii="Calibri" w:eastAsia="Calibri" w:hAnsi="Calibri"/>
      <w:sz w:val="20"/>
      <w:szCs w:val="20"/>
    </w:rPr>
  </w:style>
  <w:style w:type="character" w:customStyle="1" w:styleId="BodyTextChar">
    <w:name w:val="Body Text Char"/>
    <w:basedOn w:val="DefaultParagraphFont"/>
    <w:link w:val="BodyText"/>
    <w:uiPriority w:val="1"/>
    <w:rsid w:val="005F6D88"/>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373399"/>
    <w:pPr>
      <w:overflowPunct/>
      <w:autoSpaceDE/>
      <w:autoSpaceDN/>
      <w:adjustRightInd/>
      <w:spacing w:after="200"/>
      <w:textAlignment w:val="auto"/>
    </w:pPr>
    <w:rPr>
      <w:rFonts w:eastAsiaTheme="minorHAnsi" w:cstheme="minorBidi"/>
      <w:b/>
      <w:bCs/>
    </w:rPr>
  </w:style>
  <w:style w:type="character" w:customStyle="1" w:styleId="CommentSubjectChar">
    <w:name w:val="Comment Subject Char"/>
    <w:basedOn w:val="CommentTextChar1"/>
    <w:link w:val="CommentSubject"/>
    <w:uiPriority w:val="99"/>
    <w:semiHidden/>
    <w:rsid w:val="00373399"/>
    <w:rPr>
      <w:rFonts w:eastAsia="Times New Roman" w:cs="Book Antiqua"/>
      <w:b/>
      <w:bCs/>
      <w:sz w:val="20"/>
      <w:szCs w:val="20"/>
    </w:rPr>
  </w:style>
  <w:style w:type="character" w:styleId="UnresolvedMention">
    <w:name w:val="Unresolved Mention"/>
    <w:basedOn w:val="DefaultParagraphFont"/>
    <w:uiPriority w:val="99"/>
    <w:semiHidden/>
    <w:unhideWhenUsed/>
    <w:rsid w:val="002A17F1"/>
    <w:rPr>
      <w:color w:val="605E5C"/>
      <w:shd w:val="clear" w:color="auto" w:fill="E1DFDD"/>
    </w:rPr>
  </w:style>
  <w:style w:type="character" w:styleId="FollowedHyperlink">
    <w:name w:val="FollowedHyperlink"/>
    <w:basedOn w:val="DefaultParagraphFont"/>
    <w:uiPriority w:val="99"/>
    <w:semiHidden/>
    <w:unhideWhenUsed/>
    <w:rsid w:val="00973D1F"/>
    <w:rPr>
      <w:color w:val="800080" w:themeColor="followedHyperlink"/>
      <w:u w:val="single"/>
    </w:rPr>
  </w:style>
  <w:style w:type="character" w:customStyle="1" w:styleId="Heading3Char">
    <w:name w:val="Heading 3 Char"/>
    <w:basedOn w:val="DefaultParagraphFont"/>
    <w:link w:val="Heading3"/>
    <w:uiPriority w:val="9"/>
    <w:rsid w:val="0030622E"/>
    <w:rPr>
      <w:rFonts w:ascii="Times New Roman" w:eastAsia="Times New Roman" w:hAnsi="Times New Roman" w:cs="Times New Roman"/>
      <w:b/>
      <w:bCs/>
      <w:sz w:val="27"/>
      <w:szCs w:val="27"/>
    </w:rPr>
  </w:style>
  <w:style w:type="table" w:styleId="TableGrid">
    <w:name w:val="Table Grid"/>
    <w:basedOn w:val="TableNormal"/>
    <w:uiPriority w:val="59"/>
    <w:rsid w:val="00F17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31AB"/>
    <w:rPr>
      <w:rFonts w:asciiTheme="majorHAnsi" w:eastAsiaTheme="majorEastAsia" w:hAnsiTheme="majorHAnsi" w:cstheme="majorBidi"/>
      <w:color w:val="365F91" w:themeColor="accent1" w:themeShade="BF"/>
      <w:sz w:val="32"/>
      <w:szCs w:val="32"/>
    </w:rPr>
  </w:style>
  <w:style w:type="paragraph" w:styleId="ListNumber">
    <w:name w:val="List Number"/>
    <w:uiPriority w:val="99"/>
    <w:semiHidden/>
    <w:unhideWhenUsed/>
    <w:rsid w:val="00816010"/>
    <w:pPr>
      <w:widowControl/>
      <w:numPr>
        <w:numId w:val="28"/>
      </w:numPr>
      <w:tabs>
        <w:tab w:val="left" w:pos="360"/>
      </w:tabs>
      <w:spacing w:before="40" w:after="40" w:line="240" w:lineRule="auto"/>
    </w:pPr>
    <w:rPr>
      <w:rFonts w:eastAsia="Times New Roman" w:cstheme="minorHAnsi"/>
    </w:rPr>
  </w:style>
  <w:style w:type="paragraph" w:styleId="ListNumber2">
    <w:name w:val="List Number 2"/>
    <w:basedOn w:val="ListNumber"/>
    <w:uiPriority w:val="99"/>
    <w:semiHidden/>
    <w:unhideWhenUsed/>
    <w:rsid w:val="00816010"/>
    <w:pPr>
      <w:numPr>
        <w:ilvl w:val="1"/>
      </w:numPr>
    </w:pPr>
    <w:rPr>
      <w:rFonts w:eastAsiaTheme="minorHAnsi"/>
    </w:rPr>
  </w:style>
  <w:style w:type="paragraph" w:styleId="ListNumber3">
    <w:name w:val="List Number 3"/>
    <w:basedOn w:val="ListNumber2"/>
    <w:uiPriority w:val="99"/>
    <w:unhideWhenUsed/>
    <w:rsid w:val="00816010"/>
    <w:pPr>
      <w:numPr>
        <w:ilvl w:val="2"/>
      </w:numPr>
    </w:pPr>
  </w:style>
  <w:style w:type="paragraph" w:styleId="ListNumber4">
    <w:name w:val="List Number 4"/>
    <w:basedOn w:val="ListNumber3"/>
    <w:uiPriority w:val="99"/>
    <w:semiHidden/>
    <w:unhideWhenUsed/>
    <w:rsid w:val="00816010"/>
    <w:pPr>
      <w:numPr>
        <w:ilvl w:val="3"/>
      </w:numPr>
    </w:pPr>
  </w:style>
  <w:style w:type="paragraph" w:styleId="Revision">
    <w:name w:val="Revision"/>
    <w:hidden/>
    <w:uiPriority w:val="99"/>
    <w:semiHidden/>
    <w:rsid w:val="004C54F0"/>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43911">
      <w:bodyDiv w:val="1"/>
      <w:marLeft w:val="0"/>
      <w:marRight w:val="0"/>
      <w:marTop w:val="0"/>
      <w:marBottom w:val="0"/>
      <w:divBdr>
        <w:top w:val="none" w:sz="0" w:space="0" w:color="auto"/>
        <w:left w:val="none" w:sz="0" w:space="0" w:color="auto"/>
        <w:bottom w:val="none" w:sz="0" w:space="0" w:color="auto"/>
        <w:right w:val="none" w:sz="0" w:space="0" w:color="auto"/>
      </w:divBdr>
    </w:div>
    <w:div w:id="211817045">
      <w:bodyDiv w:val="1"/>
      <w:marLeft w:val="0"/>
      <w:marRight w:val="0"/>
      <w:marTop w:val="0"/>
      <w:marBottom w:val="0"/>
      <w:divBdr>
        <w:top w:val="none" w:sz="0" w:space="0" w:color="auto"/>
        <w:left w:val="none" w:sz="0" w:space="0" w:color="auto"/>
        <w:bottom w:val="none" w:sz="0" w:space="0" w:color="auto"/>
        <w:right w:val="none" w:sz="0" w:space="0" w:color="auto"/>
      </w:divBdr>
    </w:div>
    <w:div w:id="516820248">
      <w:bodyDiv w:val="1"/>
      <w:marLeft w:val="0"/>
      <w:marRight w:val="0"/>
      <w:marTop w:val="0"/>
      <w:marBottom w:val="0"/>
      <w:divBdr>
        <w:top w:val="none" w:sz="0" w:space="0" w:color="auto"/>
        <w:left w:val="none" w:sz="0" w:space="0" w:color="auto"/>
        <w:bottom w:val="none" w:sz="0" w:space="0" w:color="auto"/>
        <w:right w:val="none" w:sz="0" w:space="0" w:color="auto"/>
      </w:divBdr>
    </w:div>
    <w:div w:id="561139182">
      <w:bodyDiv w:val="1"/>
      <w:marLeft w:val="0"/>
      <w:marRight w:val="0"/>
      <w:marTop w:val="0"/>
      <w:marBottom w:val="0"/>
      <w:divBdr>
        <w:top w:val="none" w:sz="0" w:space="0" w:color="auto"/>
        <w:left w:val="none" w:sz="0" w:space="0" w:color="auto"/>
        <w:bottom w:val="none" w:sz="0" w:space="0" w:color="auto"/>
        <w:right w:val="none" w:sz="0" w:space="0" w:color="auto"/>
      </w:divBdr>
    </w:div>
    <w:div w:id="662319983">
      <w:bodyDiv w:val="1"/>
      <w:marLeft w:val="0"/>
      <w:marRight w:val="0"/>
      <w:marTop w:val="0"/>
      <w:marBottom w:val="0"/>
      <w:divBdr>
        <w:top w:val="none" w:sz="0" w:space="0" w:color="auto"/>
        <w:left w:val="none" w:sz="0" w:space="0" w:color="auto"/>
        <w:bottom w:val="none" w:sz="0" w:space="0" w:color="auto"/>
        <w:right w:val="none" w:sz="0" w:space="0" w:color="auto"/>
      </w:divBdr>
    </w:div>
    <w:div w:id="702248386">
      <w:bodyDiv w:val="1"/>
      <w:marLeft w:val="0"/>
      <w:marRight w:val="0"/>
      <w:marTop w:val="0"/>
      <w:marBottom w:val="0"/>
      <w:divBdr>
        <w:top w:val="none" w:sz="0" w:space="0" w:color="auto"/>
        <w:left w:val="none" w:sz="0" w:space="0" w:color="auto"/>
        <w:bottom w:val="none" w:sz="0" w:space="0" w:color="auto"/>
        <w:right w:val="none" w:sz="0" w:space="0" w:color="auto"/>
      </w:divBdr>
    </w:div>
    <w:div w:id="716780297">
      <w:bodyDiv w:val="1"/>
      <w:marLeft w:val="0"/>
      <w:marRight w:val="0"/>
      <w:marTop w:val="0"/>
      <w:marBottom w:val="0"/>
      <w:divBdr>
        <w:top w:val="none" w:sz="0" w:space="0" w:color="auto"/>
        <w:left w:val="none" w:sz="0" w:space="0" w:color="auto"/>
        <w:bottom w:val="none" w:sz="0" w:space="0" w:color="auto"/>
        <w:right w:val="none" w:sz="0" w:space="0" w:color="auto"/>
      </w:divBdr>
    </w:div>
    <w:div w:id="783888030">
      <w:bodyDiv w:val="1"/>
      <w:marLeft w:val="0"/>
      <w:marRight w:val="0"/>
      <w:marTop w:val="0"/>
      <w:marBottom w:val="0"/>
      <w:divBdr>
        <w:top w:val="none" w:sz="0" w:space="0" w:color="auto"/>
        <w:left w:val="none" w:sz="0" w:space="0" w:color="auto"/>
        <w:bottom w:val="none" w:sz="0" w:space="0" w:color="auto"/>
        <w:right w:val="none" w:sz="0" w:space="0" w:color="auto"/>
      </w:divBdr>
    </w:div>
    <w:div w:id="1154293179">
      <w:bodyDiv w:val="1"/>
      <w:marLeft w:val="0"/>
      <w:marRight w:val="0"/>
      <w:marTop w:val="0"/>
      <w:marBottom w:val="0"/>
      <w:divBdr>
        <w:top w:val="none" w:sz="0" w:space="0" w:color="auto"/>
        <w:left w:val="none" w:sz="0" w:space="0" w:color="auto"/>
        <w:bottom w:val="none" w:sz="0" w:space="0" w:color="auto"/>
        <w:right w:val="none" w:sz="0" w:space="0" w:color="auto"/>
      </w:divBdr>
    </w:div>
    <w:div w:id="1546021078">
      <w:bodyDiv w:val="1"/>
      <w:marLeft w:val="0"/>
      <w:marRight w:val="0"/>
      <w:marTop w:val="0"/>
      <w:marBottom w:val="0"/>
      <w:divBdr>
        <w:top w:val="none" w:sz="0" w:space="0" w:color="auto"/>
        <w:left w:val="none" w:sz="0" w:space="0" w:color="auto"/>
        <w:bottom w:val="none" w:sz="0" w:space="0" w:color="auto"/>
        <w:right w:val="none" w:sz="0" w:space="0" w:color="auto"/>
      </w:divBdr>
    </w:div>
    <w:div w:id="1673994451">
      <w:bodyDiv w:val="1"/>
      <w:marLeft w:val="0"/>
      <w:marRight w:val="0"/>
      <w:marTop w:val="0"/>
      <w:marBottom w:val="0"/>
      <w:divBdr>
        <w:top w:val="none" w:sz="0" w:space="0" w:color="auto"/>
        <w:left w:val="none" w:sz="0" w:space="0" w:color="auto"/>
        <w:bottom w:val="none" w:sz="0" w:space="0" w:color="auto"/>
        <w:right w:val="none" w:sz="0" w:space="0" w:color="auto"/>
      </w:divBdr>
    </w:div>
    <w:div w:id="1756895986">
      <w:bodyDiv w:val="1"/>
      <w:marLeft w:val="0"/>
      <w:marRight w:val="0"/>
      <w:marTop w:val="0"/>
      <w:marBottom w:val="0"/>
      <w:divBdr>
        <w:top w:val="none" w:sz="0" w:space="0" w:color="auto"/>
        <w:left w:val="none" w:sz="0" w:space="0" w:color="auto"/>
        <w:bottom w:val="none" w:sz="0" w:space="0" w:color="auto"/>
        <w:right w:val="none" w:sz="0" w:space="0" w:color="auto"/>
      </w:divBdr>
    </w:div>
    <w:div w:id="1878464978">
      <w:bodyDiv w:val="1"/>
      <w:marLeft w:val="0"/>
      <w:marRight w:val="0"/>
      <w:marTop w:val="0"/>
      <w:marBottom w:val="0"/>
      <w:divBdr>
        <w:top w:val="none" w:sz="0" w:space="0" w:color="auto"/>
        <w:left w:val="none" w:sz="0" w:space="0" w:color="auto"/>
        <w:bottom w:val="none" w:sz="0" w:space="0" w:color="auto"/>
        <w:right w:val="none" w:sz="0" w:space="0" w:color="auto"/>
      </w:divBdr>
    </w:div>
    <w:div w:id="1890417452">
      <w:bodyDiv w:val="1"/>
      <w:marLeft w:val="0"/>
      <w:marRight w:val="0"/>
      <w:marTop w:val="0"/>
      <w:marBottom w:val="0"/>
      <w:divBdr>
        <w:top w:val="none" w:sz="0" w:space="0" w:color="auto"/>
        <w:left w:val="none" w:sz="0" w:space="0" w:color="auto"/>
        <w:bottom w:val="none" w:sz="0" w:space="0" w:color="auto"/>
        <w:right w:val="none" w:sz="0" w:space="0" w:color="auto"/>
      </w:divBdr>
    </w:div>
    <w:div w:id="1941836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classification-qualifications/general-schedule-qualification-standards/0400/general-natural-resources-management-and-biological-sciences-series-0401/" TargetMode="External"/><Relationship Id="rId18" Type="http://schemas.openxmlformats.org/officeDocument/2006/relationships/hyperlink" Target="https://www.opm.gov/policy-data-oversight/disability-employment/reasonable-accommoda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DEROTSHires@fda.hhs.gov" TargetMode="External"/><Relationship Id="rId7" Type="http://schemas.openxmlformats.org/officeDocument/2006/relationships/settings" Target="settings.xml"/><Relationship Id="rId12" Type="http://schemas.openxmlformats.org/officeDocument/2006/relationships/hyperlink" Target="https://www.opm.gov/policy-data-oversight/classification-qualifications/general-schedule-qualification-standards/" TargetMode="External"/><Relationship Id="rId17" Type="http://schemas.openxmlformats.org/officeDocument/2006/relationships/hyperlink" Target="https://www.eeoc.gov/federal/fed_employees/index.cf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da.gov/about-fda/jobs-and-training-fda/ethics" TargetMode="External"/><Relationship Id="rId20" Type="http://schemas.openxmlformats.org/officeDocument/2006/relationships/hyperlink" Target="mailto:CDEROTSHires@fda.hh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regulatory-information/selected-amendments-fdc-act/21st-century-cures-ac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2.ed.gov/about/offices/list/ous/international/usnei/us/edlite-visitus-forrecog.htm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sajobs.gov/Help/how-to/application/agency/cont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classification-qualifications/general-schedule-qualification-standards/" TargetMode="External"/><Relationship Id="rId22" Type="http://schemas.openxmlformats.org/officeDocument/2006/relationships/image" Target="media/image1.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C6B01D59F43042BEC8D449F596C791" ma:contentTypeVersion="16" ma:contentTypeDescription="Create a new document." ma:contentTypeScope="" ma:versionID="c3ab960ba60845020e0ad7f29d671a9d">
  <xsd:schema xmlns:xsd="http://www.w3.org/2001/XMLSchema" xmlns:xs="http://www.w3.org/2001/XMLSchema" xmlns:p="http://schemas.microsoft.com/office/2006/metadata/properties" xmlns:ns1="http://schemas.microsoft.com/sharepoint/v3" xmlns:ns2="2cc17b12-aa6b-4a3b-931b-60b344486855" xmlns:ns3="20867c8d-1cc9-4acd-a073-94634f6a764f" targetNamespace="http://schemas.microsoft.com/office/2006/metadata/properties" ma:root="true" ma:fieldsID="baa5a49d8e15ce810e49f34d935c7fe3" ns1:_="" ns2:_="" ns3:_="">
    <xsd:import namespace="http://schemas.microsoft.com/sharepoint/v3"/>
    <xsd:import namespace="2cc17b12-aa6b-4a3b-931b-60b344486855"/>
    <xsd:import namespace="20867c8d-1cc9-4acd-a073-94634f6a764f"/>
    <xsd:element name="properties">
      <xsd:complexType>
        <xsd:sequence>
          <xsd:element name="documentManagement">
            <xsd:complexType>
              <xsd:all>
                <xsd:element ref="ns2:WebRequestI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Web_request_id"/>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c17b12-aa6b-4a3b-931b-60b344486855" elementFormDefault="qualified">
    <xsd:import namespace="http://schemas.microsoft.com/office/2006/documentManagement/types"/>
    <xsd:import namespace="http://schemas.microsoft.com/office/infopath/2007/PartnerControls"/>
    <xsd:element name="WebRequestID" ma:index="8" nillable="true" ma:displayName="Web Request ID" ma:decimals="0" ma:description="DEPRECATED. Use Web_request_id column." ma:format="Dropdown" ma:internalName="WebRequestID"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Web_request_id" ma:index="16" ma:displayName="Web_request_id" ma:description="Web Request ID" ma:indexed="true" ma:list="{5c1dc921-6333-40cb-ba68-53cfb87a0b3a}" ma:internalName="Web_request_id" ma:showField="ID">
      <xsd:simpleType>
        <xsd:restriction base="dms:Lookup"/>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90830bf-769a-4757-9457-8d110cc9f44f}" ma:internalName="TaxCatchAll" ma:showField="CatchAllData" ma:web="2224a26e-c9ca-4967-a913-840e77e1e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i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eb_request_id xmlns="2cc17b12-aa6b-4a3b-931b-60b344486855">1826</Web_request_id>
    <TaxCatchAll xmlns="20867c8d-1cc9-4acd-a073-94634f6a764f" xsi:nil="true"/>
    <_ip_UnifiedCompliancePolicyProperties xmlns="http://schemas.microsoft.com/sharepoint/v3" xsi:nil="true"/>
    <WebRequestID xmlns="2cc17b12-aa6b-4a3b-931b-60b344486855" xsi:nil="true"/>
    <lcf76f155ced4ddcb4097134ff3c332f xmlns="2cc17b12-aa6b-4a3b-931b-60b3444868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073BB2-AE77-4D8A-A209-BC0625D8E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c17b12-aa6b-4a3b-931b-60b344486855"/>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57195-1FDB-47F5-B392-D94E2F28F09B}">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03CCF753-42D7-4044-AAC4-7A0BD50826D7}">
  <ds:schemaRefs>
    <ds:schemaRef ds:uri="http://schemas.microsoft.com/sharepoint/v3/contenttype/forms"/>
  </ds:schemaRefs>
</ds:datastoreItem>
</file>

<file path=customXml/itemProps4.xml><?xml version="1.0" encoding="utf-8"?>
<ds:datastoreItem xmlns:ds="http://schemas.openxmlformats.org/officeDocument/2006/customXml" ds:itemID="{B8D5BE26-4313-4E44-AD2F-3B253AFB92B0}">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20867c8d-1cc9-4acd-a073-94634f6a764f"/>
    <ds:schemaRef ds:uri="2cc17b12-aa6b-4a3b-931b-60b34448685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2465</Words>
  <Characters>14056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Title 21 Associate Director for Therapeutic Review 08072023</vt:lpstr>
    </vt:vector>
  </TitlesOfParts>
  <Company>US FDA</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21 Associate Director for Therapeutic Review 08072023</dc:title>
  <dc:creator>Sauer, Robert *</dc:creator>
  <cp:lastModifiedBy>Dudley, Alan</cp:lastModifiedBy>
  <cp:revision>2</cp:revision>
  <cp:lastPrinted>2016-01-21T13:40:00Z</cp:lastPrinted>
  <dcterms:created xsi:type="dcterms:W3CDTF">2023-08-07T14:29:00Z</dcterms:created>
  <dcterms:modified xsi:type="dcterms:W3CDTF">2023-08-07T14:29:00Z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2015-03-19T00:00:00Z</vt:filetime>
  </property>
  <property fmtid="{D5CDD505-2E9C-101B-9397-08002B2CF9AE}" pid="3" name="LastSaved">
    <vt:filetime>2015-03-26T00:00:00Z</vt:filetime>
  </property>
  <property fmtid="{D5CDD505-2E9C-101B-9397-08002B2CF9AE}" pid="4" name="ContentTypeId">
    <vt:lpwstr>0x01010046C6B01D59F43042BEC8D449F596C791</vt:lpwstr>
  </property>
  <property fmtid="{D5CDD505-2E9C-101B-9397-08002B2CF9AE}" pid="5" name="_dlc_DocIdItemGuid">
    <vt:lpwstr>53838155-b629-44ce-84ed-4becca7c1749</vt:lpwstr>
  </property>
</Properties>
</file>