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2DFC" w14:textId="1A011319" w:rsidR="005B65C4" w:rsidRPr="00630B55" w:rsidRDefault="00BB3E96" w:rsidP="7C5D6CA5">
      <w:pPr>
        <w:pStyle w:val="NoSpacing"/>
        <w:jc w:val="center"/>
        <w:rPr>
          <w:b/>
          <w:bCs/>
          <w:sz w:val="20"/>
          <w:szCs w:val="20"/>
        </w:rPr>
      </w:pPr>
      <w:r w:rsidRPr="7C5D6CA5">
        <w:rPr>
          <w:b/>
          <w:bCs/>
          <w:sz w:val="20"/>
          <w:szCs w:val="20"/>
        </w:rPr>
        <w:t xml:space="preserve">Title 21 </w:t>
      </w:r>
      <w:r w:rsidR="003F2625" w:rsidRPr="7C5D6CA5">
        <w:rPr>
          <w:b/>
          <w:bCs/>
          <w:sz w:val="20"/>
          <w:szCs w:val="20"/>
        </w:rPr>
        <w:t>Vacancy Announcement</w:t>
      </w:r>
    </w:p>
    <w:p w14:paraId="605281D3" w14:textId="3F7694B8" w:rsidR="003F2625" w:rsidRPr="00630B55" w:rsidRDefault="003F2625" w:rsidP="7C5D6CA5">
      <w:pPr>
        <w:pStyle w:val="NoSpacing"/>
        <w:jc w:val="center"/>
        <w:rPr>
          <w:b/>
          <w:bCs/>
          <w:sz w:val="20"/>
          <w:szCs w:val="20"/>
        </w:rPr>
      </w:pPr>
      <w:r w:rsidRPr="7C5D6CA5">
        <w:rPr>
          <w:b/>
          <w:bCs/>
          <w:sz w:val="20"/>
          <w:szCs w:val="20"/>
        </w:rPr>
        <w:t>Department of Health and Human Services (HHS)</w:t>
      </w:r>
    </w:p>
    <w:p w14:paraId="584B7077" w14:textId="77777777" w:rsidR="003C6921" w:rsidRPr="00630B55" w:rsidRDefault="003F2625" w:rsidP="7C5D6CA5">
      <w:pPr>
        <w:pStyle w:val="NoSpacing"/>
        <w:jc w:val="center"/>
        <w:rPr>
          <w:b/>
          <w:bCs/>
          <w:sz w:val="20"/>
          <w:szCs w:val="20"/>
        </w:rPr>
      </w:pPr>
      <w:r w:rsidRPr="11C1496A">
        <w:rPr>
          <w:b/>
          <w:bCs/>
          <w:sz w:val="20"/>
          <w:szCs w:val="20"/>
        </w:rPr>
        <w:t>Food</w:t>
      </w:r>
      <w:r w:rsidR="00660C61" w:rsidRPr="11C1496A">
        <w:rPr>
          <w:b/>
          <w:bCs/>
          <w:sz w:val="20"/>
          <w:szCs w:val="20"/>
        </w:rPr>
        <w:t xml:space="preserve"> and Drug Administration (FDA)</w:t>
      </w:r>
    </w:p>
    <w:p w14:paraId="19B5907F" w14:textId="44794A3D" w:rsidR="11C1496A" w:rsidRPr="00254444" w:rsidRDefault="00254444" w:rsidP="11C1496A">
      <w:pPr>
        <w:pStyle w:val="NoSpacing"/>
        <w:jc w:val="center"/>
        <w:rPr>
          <w:b/>
          <w:bCs/>
          <w:sz w:val="20"/>
          <w:szCs w:val="20"/>
        </w:rPr>
      </w:pPr>
      <w:r w:rsidRPr="00254444">
        <w:rPr>
          <w:b/>
          <w:bCs/>
          <w:sz w:val="20"/>
          <w:szCs w:val="20"/>
        </w:rPr>
        <w:t>Center for Biologics Evaluation and Research (CBER)</w:t>
      </w:r>
    </w:p>
    <w:p w14:paraId="7C21DFFF" w14:textId="4D7BC580" w:rsidR="00254444" w:rsidRPr="00254444" w:rsidRDefault="00254444" w:rsidP="11C1496A">
      <w:pPr>
        <w:pStyle w:val="NoSpacing"/>
        <w:jc w:val="center"/>
        <w:rPr>
          <w:b/>
          <w:bCs/>
          <w:sz w:val="20"/>
          <w:szCs w:val="20"/>
        </w:rPr>
      </w:pPr>
      <w:r w:rsidRPr="00254444">
        <w:rPr>
          <w:b/>
          <w:bCs/>
          <w:sz w:val="20"/>
          <w:szCs w:val="20"/>
        </w:rPr>
        <w:t>Office of Management (OM)</w:t>
      </w:r>
    </w:p>
    <w:p w14:paraId="2054AC60" w14:textId="46AE9936" w:rsidR="00254444" w:rsidRPr="00254444" w:rsidRDefault="00254444" w:rsidP="11C1496A">
      <w:pPr>
        <w:pStyle w:val="NoSpacing"/>
        <w:jc w:val="center"/>
      </w:pPr>
      <w:r w:rsidRPr="00254444">
        <w:rPr>
          <w:b/>
          <w:bCs/>
          <w:sz w:val="20"/>
          <w:szCs w:val="20"/>
        </w:rPr>
        <w:t>Division of Management Planning and Analysis (DMPA)</w:t>
      </w:r>
    </w:p>
    <w:p w14:paraId="1629A968" w14:textId="77777777" w:rsidR="003F2625" w:rsidRPr="00630B55" w:rsidRDefault="003F2625" w:rsidP="7C5D6CA5">
      <w:pPr>
        <w:pStyle w:val="NoSpacing"/>
        <w:rPr>
          <w:sz w:val="20"/>
          <w:szCs w:val="20"/>
          <w:u w:val="single"/>
        </w:rPr>
      </w:pP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5485"/>
        <w:gridCol w:w="4050"/>
      </w:tblGrid>
      <w:tr w:rsidR="008E516C" w:rsidRPr="005B65C4" w14:paraId="08FA70A0" w14:textId="77777777" w:rsidTr="56E69D11">
        <w:tc>
          <w:tcPr>
            <w:tcW w:w="9535" w:type="dxa"/>
            <w:gridSpan w:val="2"/>
          </w:tcPr>
          <w:p w14:paraId="626932CE" w14:textId="5A97ADDC" w:rsidR="008E516C" w:rsidRPr="00112787" w:rsidRDefault="008E516C" w:rsidP="7C5D6CA5">
            <w:pPr>
              <w:pStyle w:val="NoSpacing"/>
              <w:rPr>
                <w:color w:val="FF0000"/>
                <w:sz w:val="20"/>
                <w:szCs w:val="20"/>
              </w:rPr>
            </w:pPr>
            <w:r w:rsidRPr="7C5D6CA5">
              <w:rPr>
                <w:b/>
                <w:bCs/>
                <w:sz w:val="20"/>
                <w:szCs w:val="20"/>
                <w:u w:val="single"/>
              </w:rPr>
              <w:t>Application Period</w:t>
            </w:r>
            <w:r w:rsidRPr="7C5D6CA5">
              <w:rPr>
                <w:b/>
                <w:bCs/>
                <w:sz w:val="20"/>
                <w:szCs w:val="20"/>
              </w:rPr>
              <w:t>:</w:t>
            </w:r>
            <w:r w:rsidRPr="7C5D6CA5">
              <w:rPr>
                <w:sz w:val="20"/>
                <w:szCs w:val="20"/>
              </w:rPr>
              <w:t xml:space="preserve"> </w:t>
            </w:r>
            <w:r w:rsidR="00254444">
              <w:rPr>
                <w:sz w:val="20"/>
                <w:szCs w:val="20"/>
              </w:rPr>
              <w:t xml:space="preserve">07/14/2023 </w:t>
            </w:r>
            <w:r w:rsidR="00442D2A">
              <w:rPr>
                <w:sz w:val="20"/>
                <w:szCs w:val="20"/>
              </w:rPr>
              <w:t>–</w:t>
            </w:r>
            <w:r w:rsidR="00254444">
              <w:rPr>
                <w:sz w:val="20"/>
                <w:szCs w:val="20"/>
              </w:rPr>
              <w:t xml:space="preserve"> </w:t>
            </w:r>
            <w:r w:rsidR="00442D2A">
              <w:rPr>
                <w:sz w:val="20"/>
                <w:szCs w:val="20"/>
              </w:rPr>
              <w:t>08/04/2023</w:t>
            </w:r>
          </w:p>
          <w:p w14:paraId="3F505C87" w14:textId="77777777" w:rsidR="008E516C" w:rsidRPr="00630B55" w:rsidRDefault="008E516C" w:rsidP="7C5D6CA5">
            <w:pPr>
              <w:pStyle w:val="NoSpacing"/>
              <w:rPr>
                <w:sz w:val="20"/>
                <w:szCs w:val="20"/>
                <w:u w:val="single"/>
              </w:rPr>
            </w:pPr>
          </w:p>
        </w:tc>
      </w:tr>
      <w:tr w:rsidR="008E516C" w:rsidRPr="005B65C4" w14:paraId="64FAF374" w14:textId="77777777" w:rsidTr="56E69D11">
        <w:tc>
          <w:tcPr>
            <w:tcW w:w="9535" w:type="dxa"/>
            <w:gridSpan w:val="2"/>
          </w:tcPr>
          <w:p w14:paraId="1B8ADCAB" w14:textId="4D562B40" w:rsidR="00254444" w:rsidRDefault="008E516C" w:rsidP="7C5D6CA5">
            <w:pPr>
              <w:pStyle w:val="NoSpacing"/>
              <w:rPr>
                <w:sz w:val="20"/>
                <w:szCs w:val="20"/>
              </w:rPr>
            </w:pPr>
            <w:r w:rsidRPr="7C5D6CA5">
              <w:rPr>
                <w:b/>
                <w:bCs/>
                <w:sz w:val="20"/>
                <w:szCs w:val="20"/>
                <w:u w:val="single"/>
              </w:rPr>
              <w:t>Area of Consideration:</w:t>
            </w:r>
            <w:r w:rsidRPr="7C5D6CA5">
              <w:rPr>
                <w:sz w:val="20"/>
                <w:szCs w:val="20"/>
              </w:rPr>
              <w:t xml:space="preserve"> </w:t>
            </w:r>
            <w:r w:rsidR="00254444">
              <w:rPr>
                <w:sz w:val="20"/>
                <w:szCs w:val="20"/>
              </w:rPr>
              <w:t>Government-Wide</w:t>
            </w:r>
          </w:p>
          <w:p w14:paraId="2C25BAF9" w14:textId="33388D20" w:rsidR="008E516C" w:rsidRPr="00112787" w:rsidRDefault="008E516C" w:rsidP="7C5D6CA5">
            <w:pPr>
              <w:pStyle w:val="NoSpacing"/>
              <w:rPr>
                <w:sz w:val="20"/>
                <w:szCs w:val="20"/>
              </w:rPr>
            </w:pPr>
            <w:r w:rsidRPr="7C5D6CA5">
              <w:rPr>
                <w:sz w:val="20"/>
                <w:szCs w:val="20"/>
              </w:rPr>
              <w:t xml:space="preserve">United States Citizenship is required. </w:t>
            </w:r>
            <w:r w:rsidR="00E36473" w:rsidRPr="7C5D6CA5">
              <w:rPr>
                <w:sz w:val="20"/>
                <w:szCs w:val="20"/>
              </w:rPr>
              <w:t>You must be a U.S. Citizen or U.S. National. Foreign nationals or legal permanent residents are not eligible for consideration.</w:t>
            </w:r>
          </w:p>
          <w:p w14:paraId="2B93ED14" w14:textId="7FD86849" w:rsidR="008E516C" w:rsidRPr="00630B55" w:rsidRDefault="008E516C" w:rsidP="7C5D6CA5">
            <w:pPr>
              <w:pStyle w:val="NoSpacing"/>
              <w:rPr>
                <w:sz w:val="20"/>
                <w:szCs w:val="20"/>
              </w:rPr>
            </w:pPr>
          </w:p>
        </w:tc>
      </w:tr>
      <w:tr w:rsidR="005B65C4" w:rsidRPr="005B65C4" w14:paraId="7A7FAFE3" w14:textId="77777777" w:rsidTr="56E69D11">
        <w:tc>
          <w:tcPr>
            <w:tcW w:w="5485" w:type="dxa"/>
          </w:tcPr>
          <w:p w14:paraId="4AA119C6" w14:textId="5BF7336A" w:rsidR="00F179E5" w:rsidRPr="00630B55" w:rsidRDefault="00F179E5" w:rsidP="11C1496A">
            <w:pPr>
              <w:pStyle w:val="NoSpacing"/>
              <w:rPr>
                <w:color w:val="FF0000"/>
                <w:sz w:val="20"/>
                <w:szCs w:val="20"/>
              </w:rPr>
            </w:pPr>
            <w:r w:rsidRPr="11C1496A">
              <w:rPr>
                <w:b/>
                <w:bCs/>
                <w:sz w:val="20"/>
                <w:szCs w:val="20"/>
                <w:u w:val="single"/>
              </w:rPr>
              <w:t>Position</w:t>
            </w:r>
            <w:r w:rsidR="006E60E6" w:rsidRPr="11C1496A">
              <w:rPr>
                <w:b/>
                <w:bCs/>
                <w:sz w:val="20"/>
                <w:szCs w:val="20"/>
                <w:u w:val="single"/>
              </w:rPr>
              <w:t>:</w:t>
            </w:r>
            <w:r w:rsidR="006E60E6" w:rsidRPr="00254444">
              <w:rPr>
                <w:b/>
                <w:bCs/>
                <w:sz w:val="20"/>
                <w:szCs w:val="20"/>
              </w:rPr>
              <w:t xml:space="preserve"> </w:t>
            </w:r>
            <w:r w:rsidR="00254444" w:rsidRPr="00254444">
              <w:rPr>
                <w:sz w:val="20"/>
                <w:szCs w:val="20"/>
              </w:rPr>
              <w:t>Division Director</w:t>
            </w:r>
          </w:p>
        </w:tc>
        <w:tc>
          <w:tcPr>
            <w:tcW w:w="4050" w:type="dxa"/>
          </w:tcPr>
          <w:p w14:paraId="64F5887D" w14:textId="4E781327" w:rsidR="008E516C" w:rsidRPr="00112787" w:rsidRDefault="008E516C" w:rsidP="7C5D6CA5">
            <w:pPr>
              <w:pStyle w:val="NoSpacing"/>
              <w:rPr>
                <w:sz w:val="20"/>
                <w:szCs w:val="20"/>
              </w:rPr>
            </w:pPr>
            <w:r w:rsidRPr="3872ECA4">
              <w:rPr>
                <w:b/>
                <w:bCs/>
                <w:sz w:val="20"/>
                <w:szCs w:val="20"/>
                <w:u w:val="single"/>
              </w:rPr>
              <w:t>Series</w:t>
            </w:r>
            <w:r w:rsidRPr="00254444">
              <w:rPr>
                <w:b/>
                <w:bCs/>
                <w:sz w:val="20"/>
                <w:szCs w:val="20"/>
                <w:u w:val="single"/>
              </w:rPr>
              <w:t>:</w:t>
            </w:r>
            <w:r w:rsidRPr="00254444">
              <w:rPr>
                <w:sz w:val="20"/>
                <w:szCs w:val="20"/>
              </w:rPr>
              <w:t xml:space="preserve"> </w:t>
            </w:r>
            <w:r w:rsidR="00254444" w:rsidRPr="00254444">
              <w:rPr>
                <w:sz w:val="20"/>
                <w:szCs w:val="20"/>
              </w:rPr>
              <w:t>0343</w:t>
            </w:r>
          </w:p>
          <w:p w14:paraId="2166A975" w14:textId="77777777" w:rsidR="00F179E5" w:rsidRPr="00630B55" w:rsidRDefault="00F179E5" w:rsidP="7C5D6CA5">
            <w:pPr>
              <w:pStyle w:val="NoSpacing"/>
              <w:rPr>
                <w:sz w:val="20"/>
                <w:szCs w:val="20"/>
                <w:u w:val="single"/>
              </w:rPr>
            </w:pPr>
          </w:p>
        </w:tc>
      </w:tr>
      <w:tr w:rsidR="005B65C4" w:rsidRPr="005B65C4" w14:paraId="73A5B0B9" w14:textId="77777777" w:rsidTr="56E69D11">
        <w:tc>
          <w:tcPr>
            <w:tcW w:w="5485" w:type="dxa"/>
          </w:tcPr>
          <w:p w14:paraId="31CBDFF9" w14:textId="71F77352" w:rsidR="008E516C" w:rsidRPr="00254444" w:rsidRDefault="008E516C" w:rsidP="7C5D6CA5">
            <w:pPr>
              <w:pStyle w:val="NoSpacing"/>
              <w:rPr>
                <w:sz w:val="20"/>
                <w:szCs w:val="20"/>
              </w:rPr>
            </w:pPr>
            <w:r w:rsidRPr="00254444">
              <w:rPr>
                <w:b/>
                <w:bCs/>
                <w:sz w:val="20"/>
                <w:szCs w:val="20"/>
                <w:u w:val="single"/>
              </w:rPr>
              <w:t>Location(s):</w:t>
            </w:r>
            <w:r w:rsidRPr="00254444">
              <w:rPr>
                <w:sz w:val="20"/>
                <w:szCs w:val="20"/>
              </w:rPr>
              <w:t xml:space="preserve"> </w:t>
            </w:r>
            <w:r w:rsidR="11C1496A" w:rsidRPr="00254444">
              <w:rPr>
                <w:sz w:val="20"/>
                <w:szCs w:val="20"/>
              </w:rPr>
              <w:t>White Oak Campus, Silver Spring, MD. 24145</w:t>
            </w:r>
            <w:r w:rsidR="00CD7775" w:rsidRPr="00254444">
              <w:rPr>
                <w:sz w:val="20"/>
                <w:szCs w:val="20"/>
              </w:rPr>
              <w:t>-</w:t>
            </w:r>
            <w:r w:rsidR="11C1496A" w:rsidRPr="00254444">
              <w:rPr>
                <w:sz w:val="20"/>
                <w:szCs w:val="20"/>
              </w:rPr>
              <w:t>0031.</w:t>
            </w:r>
          </w:p>
          <w:p w14:paraId="094284DA" w14:textId="77777777" w:rsidR="00F179E5" w:rsidRPr="00254444" w:rsidRDefault="00F179E5" w:rsidP="7C5D6CA5">
            <w:pPr>
              <w:pStyle w:val="NoSpacing"/>
              <w:rPr>
                <w:sz w:val="20"/>
                <w:szCs w:val="20"/>
                <w:u w:val="single"/>
              </w:rPr>
            </w:pPr>
          </w:p>
          <w:p w14:paraId="091E9E59" w14:textId="77777777" w:rsidR="00DC70B2" w:rsidRDefault="00DC70B2" w:rsidP="11C1496A">
            <w:pPr>
              <w:pStyle w:val="NoSpacing"/>
              <w:rPr>
                <w:sz w:val="20"/>
                <w:szCs w:val="20"/>
              </w:rPr>
            </w:pPr>
            <w:r w:rsidRPr="00254444">
              <w:rPr>
                <w:b/>
                <w:bCs/>
                <w:sz w:val="20"/>
                <w:szCs w:val="20"/>
                <w:u w:val="single"/>
              </w:rPr>
              <w:t>Work Schedule:</w:t>
            </w:r>
            <w:r w:rsidRPr="00254444">
              <w:rPr>
                <w:b/>
                <w:bCs/>
                <w:color w:val="FF0000"/>
                <w:sz w:val="20"/>
                <w:szCs w:val="20"/>
              </w:rPr>
              <w:t xml:space="preserve"> </w:t>
            </w:r>
            <w:r w:rsidRPr="00254444">
              <w:rPr>
                <w:sz w:val="20"/>
                <w:szCs w:val="20"/>
              </w:rPr>
              <w:t>Full Time</w:t>
            </w:r>
            <w:r w:rsidRPr="11C1496A">
              <w:rPr>
                <w:sz w:val="20"/>
                <w:szCs w:val="20"/>
              </w:rPr>
              <w:t xml:space="preserve"> </w:t>
            </w:r>
          </w:p>
          <w:p w14:paraId="77D21C6B" w14:textId="77777777" w:rsidR="00AA49C6" w:rsidRDefault="00AA49C6" w:rsidP="11C1496A">
            <w:pPr>
              <w:pStyle w:val="NoSpacing"/>
              <w:rPr>
                <w:color w:val="FF0000"/>
                <w:sz w:val="20"/>
                <w:szCs w:val="20"/>
              </w:rPr>
            </w:pPr>
          </w:p>
          <w:p w14:paraId="1A970AA0" w14:textId="6E998FC7" w:rsidR="00AA49C6" w:rsidRPr="00492CAF" w:rsidRDefault="00492CAF" w:rsidP="11C1496A">
            <w:pPr>
              <w:pStyle w:val="NoSpacing"/>
              <w:rPr>
                <w:sz w:val="20"/>
                <w:szCs w:val="20"/>
              </w:rPr>
            </w:pPr>
            <w:r w:rsidRPr="00492CAF">
              <w:rPr>
                <w:b/>
                <w:bCs/>
                <w:sz w:val="20"/>
                <w:szCs w:val="20"/>
                <w:u w:val="single"/>
              </w:rPr>
              <w:t>Telework Eligible</w:t>
            </w:r>
            <w:r w:rsidRPr="00492CAF">
              <w:rPr>
                <w:sz w:val="20"/>
                <w:szCs w:val="20"/>
              </w:rPr>
              <w:t>: Yes – as determined by agency policy</w:t>
            </w:r>
          </w:p>
          <w:p w14:paraId="0F8B951F" w14:textId="6F869F38" w:rsidR="00492CAF" w:rsidRPr="00630B55" w:rsidRDefault="00492CAF" w:rsidP="11C1496A">
            <w:pPr>
              <w:pStyle w:val="NoSpacing"/>
              <w:rPr>
                <w:color w:val="FF0000"/>
                <w:sz w:val="20"/>
                <w:szCs w:val="20"/>
              </w:rPr>
            </w:pPr>
          </w:p>
        </w:tc>
        <w:tc>
          <w:tcPr>
            <w:tcW w:w="4050" w:type="dxa"/>
          </w:tcPr>
          <w:p w14:paraId="211A4697" w14:textId="4DE9585A" w:rsidR="008E516C" w:rsidRPr="00630B55" w:rsidRDefault="008E516C" w:rsidP="7C5D6CA5">
            <w:pPr>
              <w:pStyle w:val="NoSpacing"/>
              <w:rPr>
                <w:sz w:val="20"/>
                <w:szCs w:val="20"/>
              </w:rPr>
            </w:pPr>
            <w:r w:rsidRPr="7C5D6CA5">
              <w:rPr>
                <w:b/>
                <w:bCs/>
                <w:sz w:val="20"/>
                <w:szCs w:val="20"/>
                <w:u w:val="single"/>
              </w:rPr>
              <w:t>Salary:</w:t>
            </w:r>
            <w:r w:rsidRPr="7C5D6CA5">
              <w:rPr>
                <w:sz w:val="20"/>
                <w:szCs w:val="20"/>
              </w:rPr>
              <w:t xml:space="preserve"> Starting at </w:t>
            </w:r>
            <w:r w:rsidR="00254444">
              <w:rPr>
                <w:sz w:val="20"/>
                <w:szCs w:val="20"/>
              </w:rPr>
              <w:t xml:space="preserve">$177,123 and is set to </w:t>
            </w:r>
            <w:r w:rsidR="00254444" w:rsidRPr="00254444">
              <w:rPr>
                <w:sz w:val="20"/>
                <w:szCs w:val="20"/>
              </w:rPr>
              <w:t>commensurate with education and experience.</w:t>
            </w:r>
          </w:p>
          <w:p w14:paraId="78E49143" w14:textId="42CDB3D8" w:rsidR="008E516C" w:rsidRPr="00630B55" w:rsidRDefault="008E516C" w:rsidP="7C5D6CA5">
            <w:pPr>
              <w:pStyle w:val="NoSpacing"/>
              <w:rPr>
                <w:sz w:val="20"/>
                <w:szCs w:val="20"/>
                <w:u w:val="single"/>
              </w:rPr>
            </w:pPr>
          </w:p>
        </w:tc>
      </w:tr>
      <w:tr w:rsidR="008E516C" w:rsidRPr="005B65C4" w14:paraId="144A4912" w14:textId="77777777" w:rsidTr="56E69D11">
        <w:tc>
          <w:tcPr>
            <w:tcW w:w="5485" w:type="dxa"/>
          </w:tcPr>
          <w:p w14:paraId="7BF2F77A" w14:textId="0EFF482A" w:rsidR="001D2AF0" w:rsidRPr="001D2AF0" w:rsidRDefault="008E516C" w:rsidP="7C5D6CA5">
            <w:pPr>
              <w:pStyle w:val="NoSpacing"/>
              <w:rPr>
                <w:color w:val="FF0000"/>
                <w:sz w:val="20"/>
                <w:szCs w:val="20"/>
              </w:rPr>
            </w:pPr>
            <w:r w:rsidRPr="11C1496A">
              <w:rPr>
                <w:b/>
                <w:bCs/>
                <w:sz w:val="20"/>
                <w:szCs w:val="20"/>
                <w:u w:val="single"/>
              </w:rPr>
              <w:t>Cures Band(s):</w:t>
            </w:r>
            <w:r w:rsidR="006E60E6" w:rsidRPr="11C1496A">
              <w:rPr>
                <w:b/>
                <w:bCs/>
                <w:sz w:val="20"/>
                <w:szCs w:val="20"/>
              </w:rPr>
              <w:t xml:space="preserve"> </w:t>
            </w:r>
            <w:r w:rsidR="002874F7" w:rsidRPr="11C1496A">
              <w:rPr>
                <w:sz w:val="20"/>
                <w:szCs w:val="20"/>
              </w:rPr>
              <w:t>Band</w:t>
            </w:r>
            <w:r w:rsidR="006E60E6" w:rsidRPr="11C1496A">
              <w:rPr>
                <w:sz w:val="20"/>
                <w:szCs w:val="20"/>
              </w:rPr>
              <w:t xml:space="preserve"> </w:t>
            </w:r>
            <w:r w:rsidR="00254444">
              <w:rPr>
                <w:sz w:val="20"/>
                <w:szCs w:val="20"/>
              </w:rPr>
              <w:t>F</w:t>
            </w:r>
          </w:p>
        </w:tc>
        <w:tc>
          <w:tcPr>
            <w:tcW w:w="4050" w:type="dxa"/>
          </w:tcPr>
          <w:p w14:paraId="7EA14639" w14:textId="1EC31826" w:rsidR="008E516C" w:rsidRPr="00112787" w:rsidRDefault="008E516C" w:rsidP="7C5D6CA5">
            <w:pPr>
              <w:pStyle w:val="NoSpacing"/>
              <w:rPr>
                <w:sz w:val="20"/>
                <w:szCs w:val="20"/>
                <w:u w:val="single"/>
              </w:rPr>
            </w:pPr>
            <w:r w:rsidRPr="7C5D6CA5">
              <w:rPr>
                <w:b/>
                <w:bCs/>
                <w:sz w:val="20"/>
                <w:szCs w:val="20"/>
                <w:u w:val="single"/>
              </w:rPr>
              <w:t xml:space="preserve">Full Performance </w:t>
            </w:r>
            <w:r w:rsidR="00F6136E" w:rsidRPr="7C5D6CA5">
              <w:rPr>
                <w:b/>
                <w:bCs/>
                <w:sz w:val="20"/>
                <w:szCs w:val="20"/>
                <w:u w:val="single"/>
              </w:rPr>
              <w:t xml:space="preserve">Band </w:t>
            </w:r>
            <w:r w:rsidRPr="7C5D6CA5">
              <w:rPr>
                <w:b/>
                <w:bCs/>
                <w:sz w:val="20"/>
                <w:szCs w:val="20"/>
                <w:u w:val="single"/>
              </w:rPr>
              <w:t>Level:</w:t>
            </w:r>
            <w:r w:rsidRPr="7C5D6CA5">
              <w:rPr>
                <w:sz w:val="20"/>
                <w:szCs w:val="20"/>
              </w:rPr>
              <w:t xml:space="preserve"> Band</w:t>
            </w:r>
            <w:r w:rsidR="006E60E6" w:rsidRPr="7C5D6CA5">
              <w:rPr>
                <w:sz w:val="20"/>
                <w:szCs w:val="20"/>
              </w:rPr>
              <w:t xml:space="preserve"> </w:t>
            </w:r>
            <w:r w:rsidR="00254444">
              <w:rPr>
                <w:sz w:val="20"/>
                <w:szCs w:val="20"/>
              </w:rPr>
              <w:t>F</w:t>
            </w:r>
          </w:p>
          <w:p w14:paraId="330CFCC8" w14:textId="77777777" w:rsidR="008E516C" w:rsidRPr="00630B55" w:rsidRDefault="008E516C" w:rsidP="7C5D6CA5">
            <w:pPr>
              <w:pStyle w:val="NoSpacing"/>
              <w:rPr>
                <w:sz w:val="20"/>
                <w:szCs w:val="20"/>
                <w:u w:val="single"/>
              </w:rPr>
            </w:pPr>
          </w:p>
        </w:tc>
      </w:tr>
      <w:tr w:rsidR="008E516C" w:rsidRPr="005B65C4" w14:paraId="5E2741EA" w14:textId="77777777" w:rsidTr="56E69D11">
        <w:tc>
          <w:tcPr>
            <w:tcW w:w="9535" w:type="dxa"/>
            <w:gridSpan w:val="2"/>
          </w:tcPr>
          <w:p w14:paraId="3FA6E7E9" w14:textId="0CAD800C" w:rsidR="008E516C" w:rsidRPr="00112787" w:rsidRDefault="008E516C" w:rsidP="7C5D6CA5">
            <w:pPr>
              <w:pStyle w:val="NoSpacing"/>
              <w:rPr>
                <w:color w:val="FF0000"/>
                <w:sz w:val="20"/>
                <w:szCs w:val="20"/>
              </w:rPr>
            </w:pPr>
            <w:r w:rsidRPr="001145C2">
              <w:rPr>
                <w:b/>
                <w:bCs/>
                <w:sz w:val="20"/>
                <w:szCs w:val="20"/>
                <w:u w:val="single"/>
              </w:rPr>
              <w:t>Travel Requirements:</w:t>
            </w:r>
            <w:r w:rsidRPr="001145C2">
              <w:rPr>
                <w:sz w:val="20"/>
                <w:szCs w:val="20"/>
              </w:rPr>
              <w:t xml:space="preserve"> </w:t>
            </w:r>
            <w:r w:rsidR="00254444">
              <w:rPr>
                <w:sz w:val="20"/>
                <w:szCs w:val="20"/>
              </w:rPr>
              <w:t>25% or less</w:t>
            </w:r>
          </w:p>
          <w:p w14:paraId="4ECFD959" w14:textId="49C089C5" w:rsidR="008E516C" w:rsidRDefault="008E516C" w:rsidP="7C5D6CA5">
            <w:pPr>
              <w:pStyle w:val="NoSpacing"/>
              <w:rPr>
                <w:sz w:val="20"/>
                <w:szCs w:val="20"/>
              </w:rPr>
            </w:pPr>
          </w:p>
          <w:p w14:paraId="07B5E479" w14:textId="3E3DFAE4" w:rsidR="001A26E6" w:rsidRPr="00112787" w:rsidRDefault="001A26E6" w:rsidP="7C5D6CA5">
            <w:pPr>
              <w:pStyle w:val="NoSpacing"/>
              <w:rPr>
                <w:color w:val="FF0000"/>
                <w:sz w:val="20"/>
                <w:szCs w:val="20"/>
              </w:rPr>
            </w:pPr>
            <w:r w:rsidRPr="11C1496A">
              <w:rPr>
                <w:b/>
                <w:bCs/>
                <w:sz w:val="20"/>
                <w:szCs w:val="20"/>
                <w:u w:val="single"/>
              </w:rPr>
              <w:t>Bargaining Unit:</w:t>
            </w:r>
            <w:r w:rsidR="00254444" w:rsidRPr="00254444">
              <w:rPr>
                <w:sz w:val="20"/>
                <w:szCs w:val="20"/>
              </w:rPr>
              <w:t xml:space="preserve"> 8888</w:t>
            </w:r>
          </w:p>
          <w:p w14:paraId="7A723749" w14:textId="7D3C2720" w:rsidR="001A26E6" w:rsidRPr="00630B55" w:rsidRDefault="001A26E6" w:rsidP="7C5D6CA5">
            <w:pPr>
              <w:pStyle w:val="NoSpacing"/>
              <w:rPr>
                <w:sz w:val="20"/>
                <w:szCs w:val="20"/>
              </w:rPr>
            </w:pPr>
          </w:p>
          <w:p w14:paraId="73033C25" w14:textId="678190E1" w:rsidR="008E516C" w:rsidRPr="00630B55" w:rsidRDefault="14781B16" w:rsidP="7C5D6CA5">
            <w:pPr>
              <w:pStyle w:val="NoSpacing"/>
            </w:pPr>
            <w:r w:rsidRPr="56E69D11">
              <w:rPr>
                <w:rFonts w:ascii="Calibri" w:eastAsia="Calibri" w:hAnsi="Calibri" w:cs="Calibri"/>
                <w:b/>
                <w:bCs/>
                <w:sz w:val="20"/>
                <w:szCs w:val="20"/>
                <w:u w:val="single"/>
              </w:rPr>
              <w:t>Note</w:t>
            </w:r>
            <w:r w:rsidRPr="56E69D11">
              <w:rPr>
                <w:rFonts w:ascii="Calibri" w:eastAsia="Calibri" w:hAnsi="Calibri" w:cs="Calibri"/>
                <w:sz w:val="20"/>
                <w:szCs w:val="20"/>
              </w:rPr>
              <w:t xml:space="preserve">: Incentives may be authorized; however, this is contingent upon funds availability. If authorized, certain incentives will require you to sign a service agreement to remain in the Federal government for a period of up to 3 years. Note: This statement does not imply nor guarantee an incentive will be offered and paid. Incentives include the following: moving expenses, recruitment, or relocation incentive; student loan repayment, superior qualifications appointment, creditable service for annual leave for prior non-federal work experience or prior uniformed military service, etc.  </w:t>
            </w:r>
          </w:p>
        </w:tc>
      </w:tr>
    </w:tbl>
    <w:p w14:paraId="409E0F34" w14:textId="77777777" w:rsidR="006E60E6" w:rsidRDefault="006E60E6" w:rsidP="7C5D6CA5">
      <w:pPr>
        <w:pStyle w:val="NoSpacing"/>
        <w:jc w:val="center"/>
        <w:rPr>
          <w:rFonts w:eastAsia="Times New Roman"/>
          <w:b/>
          <w:bCs/>
          <w:sz w:val="20"/>
          <w:szCs w:val="20"/>
        </w:rPr>
      </w:pPr>
      <w:bookmarkStart w:id="0" w:name="_Hlk23420930"/>
    </w:p>
    <w:p w14:paraId="5AC3A909" w14:textId="2E20EFD8" w:rsidR="005B65C4" w:rsidRPr="00630B55" w:rsidRDefault="00973D1F" w:rsidP="7C5D6CA5">
      <w:pPr>
        <w:pStyle w:val="NoSpacing"/>
        <w:jc w:val="center"/>
        <w:rPr>
          <w:rFonts w:eastAsia="Times New Roman"/>
          <w:b/>
          <w:bCs/>
          <w:sz w:val="20"/>
          <w:szCs w:val="20"/>
        </w:rPr>
      </w:pPr>
      <w:r w:rsidRPr="7C5D6CA5">
        <w:rPr>
          <w:rFonts w:eastAsia="Times New Roman"/>
          <w:b/>
          <w:bCs/>
          <w:sz w:val="20"/>
          <w:szCs w:val="20"/>
        </w:rPr>
        <w:t>This position is being filled under a</w:t>
      </w:r>
      <w:r w:rsidR="005B65C4" w:rsidRPr="7C5D6CA5">
        <w:rPr>
          <w:rFonts w:eastAsia="Times New Roman"/>
          <w:b/>
          <w:bCs/>
          <w:sz w:val="20"/>
          <w:szCs w:val="20"/>
        </w:rPr>
        <w:t xml:space="preserve"> stream</w:t>
      </w:r>
      <w:r w:rsidR="00DD374F" w:rsidRPr="7C5D6CA5">
        <w:rPr>
          <w:rFonts w:eastAsia="Times New Roman"/>
          <w:b/>
          <w:bCs/>
          <w:sz w:val="20"/>
          <w:szCs w:val="20"/>
        </w:rPr>
        <w:t>-</w:t>
      </w:r>
      <w:r w:rsidR="005B65C4" w:rsidRPr="7C5D6CA5">
        <w:rPr>
          <w:rFonts w:eastAsia="Times New Roman"/>
          <w:b/>
          <w:bCs/>
          <w:sz w:val="20"/>
          <w:szCs w:val="20"/>
        </w:rPr>
        <w:t xml:space="preserve">lined </w:t>
      </w:r>
      <w:r w:rsidRPr="7C5D6CA5">
        <w:rPr>
          <w:rFonts w:eastAsia="Times New Roman"/>
          <w:b/>
          <w:bCs/>
          <w:sz w:val="20"/>
          <w:szCs w:val="20"/>
        </w:rPr>
        <w:t>hiring authority, Title 21, Section 3072 of the 21st Century Cures Act. The candidate selected for this position will serve under a career or career-conditional appointment and be paid under the provisions of th</w:t>
      </w:r>
      <w:r w:rsidR="005B65C4" w:rsidRPr="7C5D6CA5">
        <w:rPr>
          <w:rFonts w:eastAsia="Times New Roman"/>
          <w:b/>
          <w:bCs/>
          <w:sz w:val="20"/>
          <w:szCs w:val="20"/>
        </w:rPr>
        <w:t>is</w:t>
      </w:r>
      <w:r w:rsidRPr="7C5D6CA5">
        <w:rPr>
          <w:rFonts w:eastAsia="Times New Roman"/>
          <w:b/>
          <w:bCs/>
          <w:sz w:val="20"/>
          <w:szCs w:val="20"/>
        </w:rPr>
        <w:t xml:space="preserve"> authority.</w:t>
      </w:r>
    </w:p>
    <w:bookmarkEnd w:id="0"/>
    <w:p w14:paraId="10A62335" w14:textId="64D10105" w:rsidR="005B65C4" w:rsidRPr="00630B55" w:rsidRDefault="005B65C4" w:rsidP="7C5D6CA5">
      <w:pPr>
        <w:pStyle w:val="NoSpacing"/>
        <w:jc w:val="center"/>
        <w:rPr>
          <w:b/>
          <w:bCs/>
          <w:sz w:val="20"/>
          <w:szCs w:val="20"/>
        </w:rPr>
      </w:pPr>
      <w:r w:rsidRPr="7C5D6CA5">
        <w:rPr>
          <w:b/>
          <w:bCs/>
          <w:sz w:val="20"/>
          <w:szCs w:val="20"/>
        </w:rPr>
        <w:t>Additional information on 21st Century Cures Act can be found here:</w:t>
      </w:r>
    </w:p>
    <w:p w14:paraId="78E1BCB8" w14:textId="048079AF" w:rsidR="00D82EB4" w:rsidRPr="00630B55" w:rsidRDefault="00C36057" w:rsidP="7C5D6CA5">
      <w:pPr>
        <w:pStyle w:val="NoSpacing"/>
        <w:jc w:val="center"/>
        <w:rPr>
          <w:b/>
          <w:bCs/>
          <w:sz w:val="20"/>
          <w:szCs w:val="20"/>
        </w:rPr>
      </w:pPr>
      <w:hyperlink r:id="rId11">
        <w:r w:rsidR="005B65C4" w:rsidRPr="7C5D6CA5">
          <w:rPr>
            <w:rStyle w:val="Hyperlink"/>
            <w:b/>
            <w:bCs/>
            <w:sz w:val="20"/>
            <w:szCs w:val="20"/>
          </w:rPr>
          <w:t>21st Century Cures Act Information</w:t>
        </w:r>
      </w:hyperlink>
    </w:p>
    <w:p w14:paraId="7A1725E2" w14:textId="1792FB01" w:rsidR="00D831AB" w:rsidRDefault="00D831AB" w:rsidP="7C5D6CA5">
      <w:pPr>
        <w:pStyle w:val="Heading1"/>
        <w:rPr>
          <w:sz w:val="20"/>
          <w:szCs w:val="20"/>
          <w:lang w:val="en"/>
        </w:rPr>
      </w:pPr>
      <w:r w:rsidRPr="7C5D6CA5">
        <w:rPr>
          <w:sz w:val="20"/>
          <w:szCs w:val="20"/>
          <w:lang w:val="en"/>
        </w:rPr>
        <w:t>Introduction</w:t>
      </w:r>
    </w:p>
    <w:p w14:paraId="5930A318" w14:textId="169B2C7B" w:rsidR="0037421F" w:rsidRDefault="00EA4142" w:rsidP="00CD7775">
      <w:pPr>
        <w:pStyle w:val="NoSpacing"/>
        <w:jc w:val="both"/>
        <w:rPr>
          <w:rFonts w:eastAsia="Times New Roman"/>
          <w:sz w:val="20"/>
          <w:szCs w:val="20"/>
          <w:lang w:val="en"/>
        </w:rPr>
      </w:pPr>
      <w:bookmarkStart w:id="1" w:name="_Hlk23418312"/>
      <w:r w:rsidRPr="7C5D6CA5">
        <w:rPr>
          <w:rFonts w:eastAsia="Times New Roman"/>
          <w:sz w:val="20"/>
          <w:szCs w:val="20"/>
          <w:lang w:val="en"/>
        </w:rPr>
        <w:t>The Food and Drug Administration (FDA or Agency) is the regulatory, scientific, public health and consumer protection agency responsible for ensuring all human and animal drugs, medical devices, cosmetics, foods, food additives, drugs and medicated feeds for food producing animals, tobacco and radiation emitting devices safe, and effective.</w:t>
      </w:r>
    </w:p>
    <w:bookmarkEnd w:id="1"/>
    <w:p w14:paraId="2F2365CD" w14:textId="77777777" w:rsidR="0037421F" w:rsidRPr="00112787" w:rsidRDefault="0037421F" w:rsidP="00CD7775">
      <w:pPr>
        <w:pStyle w:val="NoSpacing"/>
        <w:jc w:val="both"/>
        <w:rPr>
          <w:rFonts w:eastAsia="Times New Roman"/>
          <w:sz w:val="20"/>
          <w:szCs w:val="20"/>
          <w:lang w:val="en"/>
        </w:rPr>
      </w:pPr>
    </w:p>
    <w:p w14:paraId="3DD538F7" w14:textId="7CCF335A" w:rsidR="11C1496A" w:rsidRPr="00254444" w:rsidRDefault="11C1496A" w:rsidP="00CD7775">
      <w:pPr>
        <w:pStyle w:val="NoSpacing"/>
        <w:jc w:val="both"/>
        <w:rPr>
          <w:sz w:val="20"/>
          <w:szCs w:val="20"/>
        </w:rPr>
      </w:pPr>
      <w:r w:rsidRPr="00254444">
        <w:rPr>
          <w:sz w:val="20"/>
          <w:szCs w:val="20"/>
        </w:rPr>
        <w:t xml:space="preserve">The Center for Biologics Evaluation and Research (CBER) is a Center within FDA that regulates biological products for human use under applicable federal laws, including the Public Health Service Act and the Federal Food, Drug, and Cosmetic Act. CBER’s mission is to protect and enhance the public health through the regulation of biological and related products including blood, vaccines, allergenics, tissues, and cellular and gene therapies. CBER protects and </w:t>
      </w:r>
      <w:r w:rsidRPr="00254444">
        <w:rPr>
          <w:sz w:val="20"/>
          <w:szCs w:val="20"/>
        </w:rPr>
        <w:lastRenderedPageBreak/>
        <w:t>advances the public health by ensuring that biological products are safe, effective, and available to those who need them. CBER also provides the public with information to promote the safe and appropriate use of biological products.</w:t>
      </w:r>
    </w:p>
    <w:p w14:paraId="14A03F06" w14:textId="71573911" w:rsidR="009B4514" w:rsidRPr="00630B55" w:rsidRDefault="00D831AB" w:rsidP="7C5D6CA5">
      <w:pPr>
        <w:pStyle w:val="Heading1"/>
        <w:rPr>
          <w:rFonts w:eastAsia="Times New Roman"/>
          <w:sz w:val="20"/>
          <w:szCs w:val="20"/>
          <w:lang w:val="en"/>
        </w:rPr>
      </w:pPr>
      <w:r w:rsidRPr="7C5D6CA5">
        <w:rPr>
          <w:rFonts w:eastAsia="Times New Roman"/>
          <w:sz w:val="20"/>
          <w:szCs w:val="20"/>
          <w:lang w:val="en"/>
        </w:rPr>
        <w:t>Duties/Responsibilities</w:t>
      </w:r>
    </w:p>
    <w:p w14:paraId="47B11683" w14:textId="71AE7F0A" w:rsidR="003D7977" w:rsidRPr="00254444" w:rsidRDefault="00254444" w:rsidP="00CD7775">
      <w:pPr>
        <w:pStyle w:val="NoSpacing"/>
        <w:jc w:val="both"/>
        <w:rPr>
          <w:sz w:val="20"/>
          <w:szCs w:val="20"/>
        </w:rPr>
      </w:pPr>
      <w:r w:rsidRPr="00254444">
        <w:rPr>
          <w:sz w:val="20"/>
          <w:szCs w:val="20"/>
        </w:rPr>
        <w:t>The incumbent serves as the Division Director of the Division of Management Planning and Analysis (DMPA) within the Office of Management (OM) and oversees daily operations of the Division. This position reports to the OM Director. The Division Director provides executive leadership and management of a diverse, interdisciplinary staff of 21 FDA employees in the Immediate Office of the Director and two branches: the Planning, Performance, and Formulation Branch (PPFB) and the Capacity Planning and Management Analysis Branch (CMPAB).</w:t>
      </w:r>
    </w:p>
    <w:p w14:paraId="4E4C884F" w14:textId="69162B45" w:rsidR="00254444" w:rsidRPr="00254444" w:rsidRDefault="00254444" w:rsidP="00CD7775">
      <w:pPr>
        <w:pStyle w:val="NoSpacing"/>
        <w:jc w:val="both"/>
        <w:rPr>
          <w:sz w:val="20"/>
          <w:szCs w:val="20"/>
        </w:rPr>
      </w:pPr>
    </w:p>
    <w:p w14:paraId="1286D77A" w14:textId="23D66151" w:rsidR="00254444" w:rsidRPr="00254444" w:rsidRDefault="00254444" w:rsidP="00CD7775">
      <w:pPr>
        <w:pStyle w:val="NoSpacing"/>
        <w:jc w:val="both"/>
        <w:rPr>
          <w:sz w:val="20"/>
          <w:szCs w:val="20"/>
        </w:rPr>
      </w:pPr>
      <w:r w:rsidRPr="00254444">
        <w:rPr>
          <w:sz w:val="20"/>
          <w:szCs w:val="20"/>
        </w:rPr>
        <w:t xml:space="preserve">Specifically, the Division Director will: </w:t>
      </w:r>
    </w:p>
    <w:p w14:paraId="7260352B" w14:textId="77777777" w:rsidR="00254444" w:rsidRDefault="00254444" w:rsidP="00CD7775">
      <w:pPr>
        <w:pStyle w:val="NoSpacing"/>
        <w:jc w:val="both"/>
        <w:rPr>
          <w:color w:val="FF0000"/>
          <w:sz w:val="20"/>
          <w:szCs w:val="20"/>
        </w:rPr>
      </w:pPr>
    </w:p>
    <w:p w14:paraId="7F03FC1B"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Conduct independent studies and analysis relating to CBER’s long-term resource needs, using management science methods to forecast and optimize resources.</w:t>
      </w:r>
    </w:p>
    <w:p w14:paraId="56EB916B"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Support User Fee activities, including negotiations and providing input on the annual reports to Congress for the Prescription Drug User Fee Act (PDUFA), the Medical Device User Fee Act (MDUFA), the Generic Drug User Fee Act (GDUFA), and the Biosimilar User Fee Act (BsUFA).</w:t>
      </w:r>
    </w:p>
    <w:p w14:paraId="26368838"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Direct all strategic planning, performance management, and internal control for CBER.</w:t>
      </w:r>
    </w:p>
    <w:p w14:paraId="151497B9"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Manage employee engagement activities for CBER.</w:t>
      </w:r>
    </w:p>
    <w:p w14:paraId="520D63B5"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Provide oversight to the Chief of the Planning, Performance, and Formulation Branch (PPFB), which coordinates the development and reporting of CBER’s planning initiatives including the FDA Strategic Plan, the CBER Strategic Plan, and other FDA-driven and CBER-driven planning processes.</w:t>
      </w:r>
    </w:p>
    <w:p w14:paraId="66B6E5E0"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Formulate and develop CBER budget requests and submissions to the Department of Health and Human Services (HHS), FDA, the Office of Management and Budget (OMB), and Congress.</w:t>
      </w:r>
    </w:p>
    <w:p w14:paraId="119DBB63" w14:textId="77777777" w:rsidR="00254444" w:rsidRPr="00254444" w:rsidRDefault="00254444" w:rsidP="00254444">
      <w:pPr>
        <w:pStyle w:val="ListParagraph"/>
        <w:numPr>
          <w:ilvl w:val="0"/>
          <w:numId w:val="31"/>
        </w:numPr>
        <w:rPr>
          <w:rFonts w:cstheme="minorHAnsi"/>
          <w:sz w:val="20"/>
          <w:szCs w:val="20"/>
        </w:rPr>
      </w:pPr>
      <w:r w:rsidRPr="00254444">
        <w:rPr>
          <w:rFonts w:cstheme="minorHAnsi"/>
          <w:sz w:val="20"/>
          <w:szCs w:val="20"/>
        </w:rPr>
        <w:t>Provide oversight to the Chief of the Capacity Planning and Management Analysis Branch (CPMAB), which leads CBER’s resource capacity planning function in coordination with other medical product Centers at FDA.</w:t>
      </w:r>
    </w:p>
    <w:p w14:paraId="474CD954" w14:textId="77777777" w:rsidR="003662E4" w:rsidRPr="00630B55" w:rsidRDefault="003662E4" w:rsidP="7C5D6CA5">
      <w:pPr>
        <w:pStyle w:val="NoSpacing"/>
        <w:rPr>
          <w:sz w:val="20"/>
          <w:szCs w:val="20"/>
        </w:rPr>
      </w:pPr>
    </w:p>
    <w:p w14:paraId="1B135F66" w14:textId="7965F709" w:rsidR="00254444" w:rsidRDefault="00254444" w:rsidP="00254444">
      <w:pPr>
        <w:spacing w:after="0"/>
        <w:ind w:left="360" w:hanging="360"/>
        <w:rPr>
          <w:rFonts w:cstheme="minorHAnsi"/>
          <w:b/>
          <w:sz w:val="20"/>
          <w:szCs w:val="20"/>
          <w:u w:val="single"/>
        </w:rPr>
      </w:pPr>
      <w:r w:rsidRPr="00771E88">
        <w:rPr>
          <w:rFonts w:cstheme="minorHAnsi"/>
          <w:b/>
          <w:sz w:val="20"/>
          <w:szCs w:val="20"/>
          <w:u w:val="single"/>
        </w:rPr>
        <w:t>Supervisory Responsibilities:</w:t>
      </w:r>
    </w:p>
    <w:p w14:paraId="57C30303" w14:textId="77777777" w:rsidR="00254444" w:rsidRPr="00771E88" w:rsidRDefault="00254444" w:rsidP="00254444">
      <w:pPr>
        <w:spacing w:after="0" w:line="240" w:lineRule="auto"/>
        <w:ind w:left="360" w:hanging="360"/>
        <w:rPr>
          <w:rFonts w:cstheme="minorHAnsi"/>
          <w:sz w:val="20"/>
          <w:szCs w:val="20"/>
          <w:u w:val="single"/>
        </w:rPr>
      </w:pPr>
    </w:p>
    <w:p w14:paraId="513F9928" w14:textId="710D725F" w:rsidR="00254444" w:rsidRPr="00771E88" w:rsidRDefault="00254444" w:rsidP="00254444">
      <w:pPr>
        <w:spacing w:after="0" w:line="240" w:lineRule="auto"/>
        <w:ind w:left="360"/>
        <w:rPr>
          <w:bCs/>
          <w:sz w:val="20"/>
          <w:szCs w:val="20"/>
        </w:rPr>
      </w:pPr>
      <w:r w:rsidRPr="00771E88">
        <w:rPr>
          <w:b/>
          <w:bCs/>
          <w:sz w:val="20"/>
          <w:szCs w:val="20"/>
        </w:rPr>
        <w:t>Organizational Management</w:t>
      </w:r>
      <w:r w:rsidRPr="00771E88">
        <w:rPr>
          <w:bCs/>
          <w:sz w:val="20"/>
          <w:szCs w:val="20"/>
        </w:rPr>
        <w:t xml:space="preserve">: Manages a </w:t>
      </w:r>
      <w:proofErr w:type="gramStart"/>
      <w:r w:rsidR="00746F04">
        <w:rPr>
          <w:bCs/>
          <w:sz w:val="20"/>
          <w:szCs w:val="20"/>
        </w:rPr>
        <w:t>D</w:t>
      </w:r>
      <w:r w:rsidRPr="00771E88">
        <w:rPr>
          <w:bCs/>
          <w:sz w:val="20"/>
          <w:szCs w:val="20"/>
        </w:rPr>
        <w:t>ivision</w:t>
      </w:r>
      <w:proofErr w:type="gramEnd"/>
      <w:r w:rsidRPr="00771E88">
        <w:rPr>
          <w:bCs/>
          <w:sz w:val="20"/>
          <w:szCs w:val="20"/>
        </w:rPr>
        <w:t>.</w:t>
      </w:r>
    </w:p>
    <w:p w14:paraId="0FE369DA" w14:textId="77777777" w:rsidR="00254444" w:rsidRPr="00771E88" w:rsidRDefault="00254444" w:rsidP="00254444">
      <w:pPr>
        <w:spacing w:after="0" w:line="240" w:lineRule="auto"/>
        <w:ind w:left="360"/>
        <w:rPr>
          <w:bCs/>
          <w:sz w:val="20"/>
          <w:szCs w:val="20"/>
        </w:rPr>
      </w:pPr>
      <w:r w:rsidRPr="00771E88">
        <w:rPr>
          <w:b/>
          <w:bCs/>
          <w:sz w:val="20"/>
          <w:szCs w:val="20"/>
        </w:rPr>
        <w:t>Program Management</w:t>
      </w:r>
      <w:r w:rsidRPr="00771E88">
        <w:rPr>
          <w:bCs/>
          <w:sz w:val="20"/>
          <w:szCs w:val="20"/>
        </w:rPr>
        <w:t>: Runs a program of singular discipline focus in the Center. Oversees or coordinates multiple</w:t>
      </w:r>
      <w:r>
        <w:rPr>
          <w:bCs/>
          <w:sz w:val="20"/>
          <w:szCs w:val="20"/>
        </w:rPr>
        <w:t xml:space="preserve"> </w:t>
      </w:r>
      <w:r w:rsidRPr="00771E88">
        <w:rPr>
          <w:bCs/>
          <w:sz w:val="20"/>
          <w:szCs w:val="20"/>
        </w:rPr>
        <w:t>functional activities.</w:t>
      </w:r>
    </w:p>
    <w:p w14:paraId="22608D44" w14:textId="77777777" w:rsidR="00254444" w:rsidRPr="00771E88" w:rsidRDefault="00254444" w:rsidP="00254444">
      <w:pPr>
        <w:spacing w:after="0" w:line="240" w:lineRule="auto"/>
        <w:ind w:left="360"/>
        <w:rPr>
          <w:bCs/>
          <w:sz w:val="20"/>
          <w:szCs w:val="20"/>
        </w:rPr>
      </w:pPr>
      <w:r w:rsidRPr="00771E88">
        <w:rPr>
          <w:b/>
          <w:bCs/>
          <w:sz w:val="20"/>
          <w:szCs w:val="20"/>
        </w:rPr>
        <w:t>Resource Management</w:t>
      </w:r>
      <w:r w:rsidRPr="00771E88">
        <w:rPr>
          <w:bCs/>
          <w:sz w:val="20"/>
          <w:szCs w:val="20"/>
        </w:rPr>
        <w:t>: Monitors and reports on resources needed to run a Division in the Center.</w:t>
      </w:r>
    </w:p>
    <w:p w14:paraId="6D181E9A" w14:textId="77777777" w:rsidR="00254444" w:rsidRPr="00771E88" w:rsidRDefault="00254444" w:rsidP="00254444">
      <w:pPr>
        <w:spacing w:after="0" w:line="240" w:lineRule="auto"/>
        <w:ind w:left="360"/>
        <w:rPr>
          <w:bCs/>
          <w:sz w:val="20"/>
          <w:szCs w:val="20"/>
        </w:rPr>
      </w:pPr>
      <w:r w:rsidRPr="00771E88">
        <w:rPr>
          <w:b/>
          <w:bCs/>
          <w:sz w:val="20"/>
          <w:szCs w:val="20"/>
        </w:rPr>
        <w:t>Personnel Performance Management</w:t>
      </w:r>
      <w:r w:rsidRPr="00771E88">
        <w:rPr>
          <w:bCs/>
          <w:sz w:val="20"/>
          <w:szCs w:val="20"/>
        </w:rPr>
        <w:t>: Counsels and rates immediate subordinates.</w:t>
      </w:r>
    </w:p>
    <w:p w14:paraId="515ADCED" w14:textId="77777777" w:rsidR="00254444" w:rsidRPr="00771E88" w:rsidRDefault="00254444" w:rsidP="00254444">
      <w:pPr>
        <w:spacing w:after="0" w:line="240" w:lineRule="auto"/>
        <w:ind w:left="360"/>
        <w:rPr>
          <w:bCs/>
          <w:sz w:val="20"/>
          <w:szCs w:val="20"/>
        </w:rPr>
      </w:pPr>
      <w:r w:rsidRPr="00771E88">
        <w:rPr>
          <w:b/>
          <w:bCs/>
          <w:sz w:val="20"/>
          <w:szCs w:val="20"/>
        </w:rPr>
        <w:t>Human Capital Management</w:t>
      </w:r>
      <w:r w:rsidRPr="00771E88">
        <w:rPr>
          <w:bCs/>
          <w:sz w:val="20"/>
          <w:szCs w:val="20"/>
        </w:rPr>
        <w:t>: Identifies employee competency gaps.</w:t>
      </w:r>
    </w:p>
    <w:p w14:paraId="4CDE0757" w14:textId="7D913E0C" w:rsidR="003662E4" w:rsidRDefault="003662E4" w:rsidP="7C5D6CA5">
      <w:pPr>
        <w:pStyle w:val="Heading1"/>
        <w:rPr>
          <w:sz w:val="20"/>
          <w:szCs w:val="20"/>
        </w:rPr>
      </w:pPr>
      <w:r w:rsidRPr="7C5D6CA5">
        <w:rPr>
          <w:sz w:val="20"/>
          <w:szCs w:val="20"/>
        </w:rPr>
        <w:t>Conditions of Employment</w:t>
      </w:r>
    </w:p>
    <w:p w14:paraId="7B02A90A" w14:textId="77777777" w:rsidR="003662E4" w:rsidRPr="003662E4" w:rsidRDefault="003662E4" w:rsidP="00254444">
      <w:pPr>
        <w:pStyle w:val="NoSpacing"/>
        <w:numPr>
          <w:ilvl w:val="0"/>
          <w:numId w:val="28"/>
        </w:numPr>
        <w:ind w:left="720"/>
        <w:jc w:val="both"/>
        <w:rPr>
          <w:sz w:val="20"/>
          <w:szCs w:val="20"/>
        </w:rPr>
      </w:pPr>
      <w:r w:rsidRPr="7C5D6CA5">
        <w:rPr>
          <w:sz w:val="20"/>
          <w:szCs w:val="20"/>
        </w:rPr>
        <w:t>U.S. Citizenship requirement or proof of being a U.S. National must be met by closing date.</w:t>
      </w:r>
    </w:p>
    <w:p w14:paraId="301BD3C1" w14:textId="77777777" w:rsidR="003662E4" w:rsidRPr="003662E4" w:rsidRDefault="003662E4" w:rsidP="00254444">
      <w:pPr>
        <w:pStyle w:val="NoSpacing"/>
        <w:numPr>
          <w:ilvl w:val="0"/>
          <w:numId w:val="28"/>
        </w:numPr>
        <w:ind w:left="720"/>
        <w:jc w:val="both"/>
        <w:rPr>
          <w:sz w:val="20"/>
          <w:szCs w:val="20"/>
        </w:rPr>
      </w:pPr>
      <w:r w:rsidRPr="7C5D6CA5">
        <w:rPr>
          <w:sz w:val="20"/>
          <w:szCs w:val="20"/>
        </w:rPr>
        <w:t>Employment is subject to the successful completion of a background investigation, verification of qualifications, completion of onboarding forms, submission of required documents, and any other job-related requirement before or after appointment.</w:t>
      </w:r>
    </w:p>
    <w:p w14:paraId="369754FA" w14:textId="422742DD" w:rsidR="003662E4" w:rsidRDefault="003662E4" w:rsidP="00254444">
      <w:pPr>
        <w:pStyle w:val="NoSpacing"/>
        <w:numPr>
          <w:ilvl w:val="0"/>
          <w:numId w:val="28"/>
        </w:numPr>
        <w:ind w:left="720"/>
        <w:jc w:val="both"/>
        <w:rPr>
          <w:sz w:val="20"/>
          <w:szCs w:val="20"/>
        </w:rPr>
      </w:pPr>
      <w:r w:rsidRPr="7C5D6CA5">
        <w:rPr>
          <w:sz w:val="20"/>
          <w:szCs w:val="20"/>
        </w:rPr>
        <w:t>Applicants must meet all qualification requirements by the closing date of this announcement.</w:t>
      </w:r>
    </w:p>
    <w:p w14:paraId="773CFCE9" w14:textId="17414A64" w:rsidR="00D539A9" w:rsidRDefault="00D539A9" w:rsidP="00254444">
      <w:pPr>
        <w:pStyle w:val="NoSpacing"/>
        <w:numPr>
          <w:ilvl w:val="0"/>
          <w:numId w:val="28"/>
        </w:numPr>
        <w:ind w:left="720"/>
        <w:jc w:val="both"/>
        <w:rPr>
          <w:sz w:val="20"/>
          <w:szCs w:val="20"/>
        </w:rPr>
      </w:pPr>
      <w:r w:rsidRPr="7C5D6CA5">
        <w:rPr>
          <w:sz w:val="20"/>
          <w:szCs w:val="20"/>
        </w:rPr>
        <w:t>Direct Deposit: You will be required to have all federal salary payments electronically deposited into a bank account with a financial institution of your choice.</w:t>
      </w:r>
    </w:p>
    <w:p w14:paraId="3ECF92DA" w14:textId="74312201" w:rsidR="00D539A9" w:rsidRPr="003662E4" w:rsidRDefault="00D539A9" w:rsidP="00254444">
      <w:pPr>
        <w:pStyle w:val="NoSpacing"/>
        <w:numPr>
          <w:ilvl w:val="0"/>
          <w:numId w:val="28"/>
        </w:numPr>
        <w:ind w:left="720"/>
        <w:jc w:val="both"/>
        <w:rPr>
          <w:sz w:val="20"/>
          <w:szCs w:val="20"/>
        </w:rPr>
      </w:pPr>
      <w:r w:rsidRPr="7C5D6CA5">
        <w:rPr>
          <w:sz w:val="20"/>
          <w:szCs w:val="20"/>
        </w:rPr>
        <w:t>FDA participates in e-Verify: All new hires must complete the I-9 form; this information will be processed through e-Verify to determine your employment eligibility. If a discrepancy arises, you must take affirmative steps to resolve the matter.</w:t>
      </w:r>
    </w:p>
    <w:p w14:paraId="66A3C7B2" w14:textId="54820BB5" w:rsidR="003662E4" w:rsidRDefault="003662E4" w:rsidP="00254444">
      <w:pPr>
        <w:pStyle w:val="NoSpacing"/>
        <w:numPr>
          <w:ilvl w:val="0"/>
          <w:numId w:val="28"/>
        </w:numPr>
        <w:ind w:left="720"/>
        <w:jc w:val="both"/>
        <w:rPr>
          <w:sz w:val="20"/>
          <w:szCs w:val="20"/>
        </w:rPr>
      </w:pPr>
      <w:r w:rsidRPr="7C5D6CA5">
        <w:rPr>
          <w:sz w:val="20"/>
          <w:szCs w:val="20"/>
        </w:rPr>
        <w:t xml:space="preserve">Males born after December 31, </w:t>
      </w:r>
      <w:proofErr w:type="gramStart"/>
      <w:r w:rsidRPr="7C5D6CA5">
        <w:rPr>
          <w:sz w:val="20"/>
          <w:szCs w:val="20"/>
        </w:rPr>
        <w:t>1959</w:t>
      </w:r>
      <w:proofErr w:type="gramEnd"/>
      <w:r w:rsidRPr="7C5D6CA5">
        <w:rPr>
          <w:sz w:val="20"/>
          <w:szCs w:val="20"/>
        </w:rPr>
        <w:t xml:space="preserve"> must be registered with the Selective Service.</w:t>
      </w:r>
    </w:p>
    <w:p w14:paraId="1C08107F" w14:textId="6E8E3E85" w:rsidR="00E24171" w:rsidRPr="003662E4" w:rsidRDefault="00E24171" w:rsidP="00254444">
      <w:pPr>
        <w:pStyle w:val="NoSpacing"/>
        <w:numPr>
          <w:ilvl w:val="0"/>
          <w:numId w:val="28"/>
        </w:numPr>
        <w:ind w:left="720"/>
        <w:jc w:val="both"/>
        <w:rPr>
          <w:sz w:val="20"/>
          <w:szCs w:val="20"/>
        </w:rPr>
      </w:pPr>
      <w:proofErr w:type="gramStart"/>
      <w:r w:rsidRPr="7C5D6CA5">
        <w:rPr>
          <w:sz w:val="20"/>
          <w:szCs w:val="20"/>
        </w:rPr>
        <w:t>One year</w:t>
      </w:r>
      <w:proofErr w:type="gramEnd"/>
      <w:r w:rsidRPr="7C5D6CA5">
        <w:rPr>
          <w:sz w:val="20"/>
          <w:szCs w:val="20"/>
        </w:rPr>
        <w:t xml:space="preserve"> </w:t>
      </w:r>
      <w:r w:rsidRPr="000F3081">
        <w:rPr>
          <w:sz w:val="20"/>
          <w:szCs w:val="20"/>
        </w:rPr>
        <w:t xml:space="preserve">supervisory </w:t>
      </w:r>
      <w:r w:rsidRPr="7C5D6CA5">
        <w:rPr>
          <w:sz w:val="20"/>
          <w:szCs w:val="20"/>
        </w:rPr>
        <w:t xml:space="preserve">probationary period may be required. </w:t>
      </w:r>
    </w:p>
    <w:p w14:paraId="6C41F8F7" w14:textId="3342B11F" w:rsidR="003662E4" w:rsidRDefault="003662E4" w:rsidP="00254444">
      <w:pPr>
        <w:pStyle w:val="NoSpacing"/>
        <w:numPr>
          <w:ilvl w:val="0"/>
          <w:numId w:val="28"/>
        </w:numPr>
        <w:ind w:left="720"/>
        <w:jc w:val="both"/>
        <w:rPr>
          <w:sz w:val="20"/>
          <w:szCs w:val="20"/>
        </w:rPr>
      </w:pPr>
      <w:r w:rsidRPr="7C5D6CA5">
        <w:rPr>
          <w:sz w:val="20"/>
          <w:szCs w:val="20"/>
        </w:rPr>
        <w:t>Financial Disclosure may be required.</w:t>
      </w:r>
    </w:p>
    <w:p w14:paraId="2091CB5B" w14:textId="32DC077F" w:rsidR="003662E4" w:rsidRPr="00D43D15" w:rsidRDefault="003662E4" w:rsidP="00254444">
      <w:pPr>
        <w:pStyle w:val="NoSpacing"/>
        <w:numPr>
          <w:ilvl w:val="0"/>
          <w:numId w:val="28"/>
        </w:numPr>
        <w:ind w:left="720"/>
        <w:jc w:val="both"/>
        <w:rPr>
          <w:sz w:val="20"/>
          <w:szCs w:val="20"/>
        </w:rPr>
      </w:pPr>
      <w:r w:rsidRPr="7C5D6CA5">
        <w:rPr>
          <w:sz w:val="20"/>
          <w:szCs w:val="20"/>
        </w:rPr>
        <w:t xml:space="preserve">Ethics Clearance may be required. </w:t>
      </w:r>
    </w:p>
    <w:p w14:paraId="34E4C0BA" w14:textId="3858B3BC" w:rsidR="00BB11BC" w:rsidRPr="00367292" w:rsidRDefault="00D539A9" w:rsidP="00254444">
      <w:pPr>
        <w:pStyle w:val="NoSpacing"/>
        <w:numPr>
          <w:ilvl w:val="0"/>
          <w:numId w:val="28"/>
        </w:numPr>
        <w:ind w:left="720"/>
        <w:jc w:val="both"/>
        <w:rPr>
          <w:color w:val="FF0000"/>
          <w:sz w:val="20"/>
          <w:szCs w:val="20"/>
        </w:rPr>
      </w:pPr>
      <w:r w:rsidRPr="11C1496A">
        <w:rPr>
          <w:sz w:val="20"/>
          <w:szCs w:val="20"/>
        </w:rPr>
        <w:t>Background Investigation/</w:t>
      </w:r>
      <w:r w:rsidR="003662E4" w:rsidRPr="11C1496A">
        <w:rPr>
          <w:sz w:val="20"/>
          <w:szCs w:val="20"/>
        </w:rPr>
        <w:t>Security Clearance</w:t>
      </w:r>
      <w:r w:rsidR="00BB11BC" w:rsidRPr="11C1496A">
        <w:rPr>
          <w:sz w:val="20"/>
          <w:szCs w:val="20"/>
        </w:rPr>
        <w:t xml:space="preserve"> is required.</w:t>
      </w:r>
      <w:r w:rsidR="003662E4" w:rsidRPr="11C1496A">
        <w:rPr>
          <w:sz w:val="20"/>
          <w:szCs w:val="20"/>
        </w:rPr>
        <w:t xml:space="preserve"> </w:t>
      </w:r>
      <w:r w:rsidRPr="11C1496A">
        <w:rPr>
          <w:sz w:val="20"/>
          <w:szCs w:val="20"/>
        </w:rPr>
        <w:t xml:space="preserve">All employees must pass a security investigation. Failing to pass the background check may be grounds for removal or legal action. If hired, you may be subject to additional investigations </w:t>
      </w:r>
      <w:proofErr w:type="gramStart"/>
      <w:r w:rsidRPr="11C1496A">
        <w:rPr>
          <w:sz w:val="20"/>
          <w:szCs w:val="20"/>
        </w:rPr>
        <w:t>at a later time</w:t>
      </w:r>
      <w:proofErr w:type="gramEnd"/>
      <w:r w:rsidRPr="11C1496A">
        <w:rPr>
          <w:sz w:val="20"/>
          <w:szCs w:val="20"/>
        </w:rPr>
        <w:t xml:space="preserve">. </w:t>
      </w:r>
    </w:p>
    <w:p w14:paraId="1B1B0DAF" w14:textId="71339B9C" w:rsidR="00BB11BC" w:rsidRDefault="00BB11BC" w:rsidP="00254444">
      <w:pPr>
        <w:pStyle w:val="Heading1"/>
        <w:ind w:left="360"/>
        <w:rPr>
          <w:rFonts w:eastAsia="Times New Roman"/>
          <w:sz w:val="20"/>
          <w:szCs w:val="20"/>
        </w:rPr>
      </w:pPr>
      <w:r w:rsidRPr="7C5D6CA5">
        <w:rPr>
          <w:rFonts w:eastAsia="Times New Roman"/>
          <w:sz w:val="20"/>
          <w:szCs w:val="20"/>
        </w:rPr>
        <w:t>Qualifications</w:t>
      </w:r>
    </w:p>
    <w:p w14:paraId="765BCD9C" w14:textId="77777777" w:rsidR="00816010" w:rsidRPr="00240F4B" w:rsidRDefault="00816010" w:rsidP="00CD7775">
      <w:pPr>
        <w:jc w:val="both"/>
        <w:rPr>
          <w:sz w:val="20"/>
          <w:szCs w:val="20"/>
        </w:rPr>
      </w:pPr>
      <w:r w:rsidRPr="7C5D6CA5">
        <w:rPr>
          <w:sz w:val="20"/>
          <w:szCs w:val="20"/>
        </w:rPr>
        <w:t>To be placed into a Cures position, candidates must meet the following criteria:</w:t>
      </w:r>
    </w:p>
    <w:p w14:paraId="3AEBCFD6" w14:textId="77777777" w:rsidR="00816010" w:rsidRPr="00240F4B" w:rsidRDefault="00816010" w:rsidP="00CD7775">
      <w:pPr>
        <w:pStyle w:val="ListParagraph"/>
        <w:numPr>
          <w:ilvl w:val="0"/>
          <w:numId w:val="30"/>
        </w:numPr>
        <w:jc w:val="both"/>
        <w:rPr>
          <w:sz w:val="20"/>
          <w:szCs w:val="20"/>
        </w:rPr>
      </w:pPr>
      <w:r w:rsidRPr="7C5D6CA5">
        <w:rPr>
          <w:sz w:val="20"/>
          <w:szCs w:val="20"/>
        </w:rPr>
        <w:t>Scientific, Technical, and Professional Fields</w:t>
      </w:r>
      <w:bookmarkStart w:id="2" w:name="_Hlk47532536"/>
    </w:p>
    <w:bookmarkEnd w:id="2"/>
    <w:p w14:paraId="03910975" w14:textId="77777777" w:rsidR="00816010" w:rsidRPr="00240F4B" w:rsidRDefault="00816010" w:rsidP="00CD7775">
      <w:pPr>
        <w:pStyle w:val="ListNumber2"/>
        <w:numPr>
          <w:ilvl w:val="0"/>
          <w:numId w:val="30"/>
        </w:numPr>
        <w:jc w:val="both"/>
        <w:rPr>
          <w:sz w:val="20"/>
          <w:szCs w:val="20"/>
        </w:rPr>
      </w:pPr>
      <w:r w:rsidRPr="7C5D6CA5">
        <w:rPr>
          <w:sz w:val="20"/>
          <w:szCs w:val="20"/>
        </w:rPr>
        <w:t>Qualified and Outstanding Candidates</w:t>
      </w:r>
    </w:p>
    <w:p w14:paraId="6E247045" w14:textId="77777777" w:rsidR="00816010" w:rsidRPr="00240F4B" w:rsidRDefault="00816010" w:rsidP="00CD7775">
      <w:pPr>
        <w:pStyle w:val="ListNumber3"/>
        <w:numPr>
          <w:ilvl w:val="1"/>
          <w:numId w:val="30"/>
        </w:numPr>
        <w:jc w:val="both"/>
        <w:rPr>
          <w:sz w:val="20"/>
          <w:szCs w:val="20"/>
        </w:rPr>
      </w:pPr>
      <w:r w:rsidRPr="7C5D6CA5">
        <w:rPr>
          <w:b/>
          <w:bCs/>
          <w:i/>
          <w:iCs/>
          <w:sz w:val="20"/>
          <w:szCs w:val="20"/>
        </w:rPr>
        <w:t>Qualified</w:t>
      </w:r>
      <w:r w:rsidRPr="7C5D6CA5">
        <w:rPr>
          <w:sz w:val="20"/>
          <w:szCs w:val="20"/>
        </w:rPr>
        <w:t xml:space="preserve"> applies to all candidates for Cures appointments. The FDA OTS will use the basic requirements defined in the </w:t>
      </w:r>
      <w:hyperlink r:id="rId12">
        <w:r w:rsidRPr="7C5D6CA5">
          <w:rPr>
            <w:rStyle w:val="Hyperlink"/>
            <w:sz w:val="20"/>
            <w:szCs w:val="20"/>
          </w:rPr>
          <w:t>OPM Qualification Standards</w:t>
        </w:r>
      </w:hyperlink>
      <w:r w:rsidRPr="7C5D6CA5">
        <w:rPr>
          <w:sz w:val="20"/>
          <w:szCs w:val="20"/>
        </w:rPr>
        <w:t xml:space="preserve"> as a baseline for comparing experience levels and other candidate attributes for relevant positions.</w:t>
      </w:r>
    </w:p>
    <w:p w14:paraId="06F3EBB3" w14:textId="77777777" w:rsidR="00816010" w:rsidRPr="00900069" w:rsidRDefault="00816010" w:rsidP="00CD7775">
      <w:pPr>
        <w:pStyle w:val="ListNumber3"/>
        <w:numPr>
          <w:ilvl w:val="1"/>
          <w:numId w:val="30"/>
        </w:numPr>
        <w:jc w:val="both"/>
        <w:rPr>
          <w:sz w:val="20"/>
          <w:szCs w:val="20"/>
        </w:rPr>
      </w:pPr>
      <w:r w:rsidRPr="7C5D6CA5">
        <w:rPr>
          <w:b/>
          <w:bCs/>
          <w:i/>
          <w:iCs/>
          <w:sz w:val="20"/>
          <w:szCs w:val="20"/>
        </w:rPr>
        <w:t>Outstanding</w:t>
      </w:r>
      <w:r w:rsidRPr="7C5D6CA5">
        <w:rPr>
          <w:sz w:val="20"/>
          <w:szCs w:val="20"/>
        </w:rPr>
        <w:t xml:space="preserve"> candidates can be defined by existing outstanding work experience, outstanding performance rating, or both.</w:t>
      </w:r>
    </w:p>
    <w:p w14:paraId="6454F651" w14:textId="77777777" w:rsidR="00816010" w:rsidRDefault="00816010" w:rsidP="00CD7775">
      <w:pPr>
        <w:pStyle w:val="NoSpacing"/>
        <w:jc w:val="both"/>
        <w:rPr>
          <w:sz w:val="20"/>
          <w:szCs w:val="20"/>
        </w:rPr>
      </w:pPr>
    </w:p>
    <w:p w14:paraId="63E5AD1A" w14:textId="47BACCF0" w:rsidR="00D62813" w:rsidRPr="00630B55" w:rsidRDefault="00D62813" w:rsidP="00CD7775">
      <w:pPr>
        <w:pStyle w:val="NoSpacing"/>
        <w:jc w:val="both"/>
        <w:rPr>
          <w:i/>
          <w:iCs/>
          <w:sz w:val="20"/>
          <w:szCs w:val="20"/>
        </w:rPr>
      </w:pPr>
      <w:proofErr w:type="gramStart"/>
      <w:r w:rsidRPr="7C5D6CA5">
        <w:rPr>
          <w:sz w:val="20"/>
          <w:szCs w:val="20"/>
        </w:rPr>
        <w:t>In order to</w:t>
      </w:r>
      <w:proofErr w:type="gramEnd"/>
      <w:r w:rsidRPr="7C5D6CA5">
        <w:rPr>
          <w:sz w:val="20"/>
          <w:szCs w:val="20"/>
        </w:rPr>
        <w:t xml:space="preserve"> qualify for this Title 21 Cures position, the candidate(s) must meet the following </w:t>
      </w:r>
      <w:r w:rsidRPr="7C5D6CA5">
        <w:rPr>
          <w:b/>
          <w:bCs/>
          <w:sz w:val="20"/>
          <w:szCs w:val="20"/>
          <w:u w:val="single"/>
        </w:rPr>
        <w:t>required</w:t>
      </w:r>
      <w:r w:rsidRPr="7C5D6CA5">
        <w:rPr>
          <w:sz w:val="20"/>
          <w:szCs w:val="20"/>
        </w:rPr>
        <w:t xml:space="preserve"> qualifications. </w:t>
      </w:r>
      <w:r w:rsidR="00FB5CF5" w:rsidRPr="7C5D6CA5">
        <w:rPr>
          <w:i/>
          <w:iCs/>
          <w:sz w:val="20"/>
          <w:szCs w:val="20"/>
        </w:rPr>
        <w:t xml:space="preserve">Please note: </w:t>
      </w:r>
      <w:r w:rsidR="00867834" w:rsidRPr="7C5D6CA5">
        <w:rPr>
          <w:i/>
          <w:iCs/>
          <w:sz w:val="20"/>
          <w:szCs w:val="20"/>
        </w:rPr>
        <w:t>A</w:t>
      </w:r>
      <w:r w:rsidRPr="7C5D6CA5">
        <w:rPr>
          <w:i/>
          <w:iCs/>
          <w:sz w:val="20"/>
          <w:szCs w:val="20"/>
        </w:rPr>
        <w:t xml:space="preserve">dditional education and experience listed that is not indicated as </w:t>
      </w:r>
      <w:r w:rsidRPr="7C5D6CA5">
        <w:rPr>
          <w:i/>
          <w:iCs/>
          <w:sz w:val="20"/>
          <w:szCs w:val="20"/>
          <w:u w:val="single"/>
        </w:rPr>
        <w:t>required</w:t>
      </w:r>
      <w:r w:rsidRPr="7C5D6CA5">
        <w:rPr>
          <w:i/>
          <w:iCs/>
          <w:sz w:val="20"/>
          <w:szCs w:val="20"/>
        </w:rPr>
        <w:t xml:space="preserve"> is preferable and desired. Candidates who do not meet the “desired” criteria will </w:t>
      </w:r>
      <w:r w:rsidRPr="7C5D6CA5">
        <w:rPr>
          <w:i/>
          <w:iCs/>
          <w:sz w:val="20"/>
          <w:szCs w:val="20"/>
          <w:u w:val="single"/>
        </w:rPr>
        <w:t>not</w:t>
      </w:r>
      <w:r w:rsidRPr="7C5D6CA5">
        <w:rPr>
          <w:i/>
          <w:iCs/>
          <w:sz w:val="20"/>
          <w:szCs w:val="20"/>
        </w:rPr>
        <w:t xml:space="preserve"> be excluded from consideration</w:t>
      </w:r>
      <w:r w:rsidR="00FB5CF5" w:rsidRPr="7C5D6CA5">
        <w:rPr>
          <w:i/>
          <w:iCs/>
          <w:sz w:val="20"/>
          <w:szCs w:val="20"/>
        </w:rPr>
        <w:t xml:space="preserve"> for this position</w:t>
      </w:r>
      <w:r w:rsidRPr="7C5D6CA5">
        <w:rPr>
          <w:i/>
          <w:iCs/>
          <w:sz w:val="20"/>
          <w:szCs w:val="20"/>
        </w:rPr>
        <w:t>.</w:t>
      </w:r>
    </w:p>
    <w:p w14:paraId="5889CAD8" w14:textId="77777777" w:rsidR="00D62813" w:rsidRPr="00D62813" w:rsidRDefault="00D62813" w:rsidP="00CD7775">
      <w:pPr>
        <w:pStyle w:val="NoSpacing"/>
        <w:jc w:val="both"/>
        <w:rPr>
          <w:sz w:val="20"/>
          <w:szCs w:val="20"/>
        </w:rPr>
      </w:pPr>
    </w:p>
    <w:p w14:paraId="273E262D" w14:textId="77777777" w:rsidR="003F6597" w:rsidRPr="003F6597" w:rsidRDefault="004D58C3" w:rsidP="00CD7775">
      <w:pPr>
        <w:pStyle w:val="NoSpacing"/>
        <w:jc w:val="both"/>
        <w:rPr>
          <w:color w:val="FF0000"/>
          <w:sz w:val="20"/>
          <w:szCs w:val="20"/>
        </w:rPr>
      </w:pPr>
      <w:r w:rsidRPr="7C5D6CA5">
        <w:rPr>
          <w:b/>
          <w:bCs/>
          <w:sz w:val="20"/>
          <w:szCs w:val="20"/>
          <w:u w:val="single"/>
          <w:lang w:val="en"/>
        </w:rPr>
        <w:t>Education Requirement:</w:t>
      </w:r>
      <w:r w:rsidRPr="7C5D6CA5">
        <w:rPr>
          <w:sz w:val="20"/>
          <w:szCs w:val="20"/>
          <w:u w:val="single"/>
          <w:lang w:val="en"/>
        </w:rPr>
        <w:t xml:space="preserve"> </w:t>
      </w:r>
      <w:bookmarkStart w:id="3" w:name="_Hlk101943010"/>
    </w:p>
    <w:p w14:paraId="615C83F2" w14:textId="2D180A0F" w:rsidR="004D58C3" w:rsidRPr="00CD7775" w:rsidRDefault="003F6597" w:rsidP="00CD7775">
      <w:pPr>
        <w:pStyle w:val="NoSpacing"/>
        <w:jc w:val="both"/>
        <w:rPr>
          <w:sz w:val="20"/>
          <w:szCs w:val="20"/>
        </w:rPr>
      </w:pPr>
      <w:r w:rsidRPr="00783B19">
        <w:rPr>
          <w:sz w:val="20"/>
          <w:szCs w:val="20"/>
        </w:rPr>
        <w:t xml:space="preserve">Candidates must possess the required individual occupational requirements to qualify for the appropriate series applicable to the position. Please use the following link to determine the series for which you qualify: </w:t>
      </w:r>
      <w:hyperlink r:id="rId13" w:anchor="url=List-by-Occupational-Series" w:history="1">
        <w:r w:rsidRPr="00783B19">
          <w:rPr>
            <w:rStyle w:val="Hyperlink"/>
            <w:color w:val="auto"/>
            <w:sz w:val="20"/>
            <w:szCs w:val="20"/>
          </w:rPr>
          <w:t>https://www.opm.gov/policy-data-oversight/classification-qualifications/general-schedule-qualification-standards/#url=List-by-Occupational-Series</w:t>
        </w:r>
      </w:hyperlink>
      <w:r w:rsidRPr="00783B19">
        <w:rPr>
          <w:sz w:val="20"/>
          <w:szCs w:val="20"/>
        </w:rPr>
        <w:t xml:space="preserve"> </w:t>
      </w:r>
      <w:bookmarkEnd w:id="3"/>
    </w:p>
    <w:p w14:paraId="612AC2FF" w14:textId="77777777" w:rsidR="00BB11BC" w:rsidRPr="00D43D15" w:rsidRDefault="00BB11BC" w:rsidP="7C5D6CA5">
      <w:pPr>
        <w:pStyle w:val="NoSpacing"/>
        <w:rPr>
          <w:sz w:val="20"/>
          <w:szCs w:val="20"/>
        </w:rPr>
      </w:pPr>
    </w:p>
    <w:p w14:paraId="1A592065" w14:textId="42EF8180" w:rsidR="00D62813" w:rsidRDefault="00D62813" w:rsidP="7C5D6CA5">
      <w:pPr>
        <w:pStyle w:val="NoSpacing"/>
        <w:rPr>
          <w:color w:val="FF0000"/>
          <w:sz w:val="20"/>
          <w:szCs w:val="20"/>
          <w:lang w:val="en"/>
        </w:rPr>
      </w:pPr>
      <w:r w:rsidRPr="7C5D6CA5">
        <w:rPr>
          <w:sz w:val="20"/>
          <w:szCs w:val="20"/>
          <w:u w:val="single"/>
          <w:lang w:val="en"/>
        </w:rPr>
        <w:t>Desired Professional Experience</w:t>
      </w:r>
      <w:r w:rsidRPr="7C5D6CA5">
        <w:rPr>
          <w:sz w:val="20"/>
          <w:szCs w:val="20"/>
          <w:lang w:val="en"/>
        </w:rPr>
        <w:t xml:space="preserve">: </w:t>
      </w:r>
    </w:p>
    <w:p w14:paraId="503CDB3D" w14:textId="16E98315" w:rsidR="00254444" w:rsidRPr="00254444" w:rsidRDefault="00254444" w:rsidP="00254444">
      <w:pPr>
        <w:pStyle w:val="NoSpacing"/>
        <w:numPr>
          <w:ilvl w:val="0"/>
          <w:numId w:val="33"/>
        </w:numPr>
        <w:rPr>
          <w:sz w:val="20"/>
          <w:szCs w:val="20"/>
          <w:lang w:val="en"/>
        </w:rPr>
      </w:pPr>
      <w:r w:rsidRPr="00254444">
        <w:rPr>
          <w:sz w:val="20"/>
          <w:szCs w:val="20"/>
          <w:lang w:val="en"/>
        </w:rPr>
        <w:t>Leadership coaching, training, or certification.</w:t>
      </w:r>
    </w:p>
    <w:p w14:paraId="49B3A3DB" w14:textId="7F6FC7FD" w:rsidR="00254444" w:rsidRPr="00254444" w:rsidRDefault="00254444" w:rsidP="00254444">
      <w:pPr>
        <w:pStyle w:val="NoSpacing"/>
        <w:numPr>
          <w:ilvl w:val="0"/>
          <w:numId w:val="33"/>
        </w:numPr>
        <w:rPr>
          <w:sz w:val="20"/>
          <w:szCs w:val="20"/>
          <w:lang w:val="en"/>
        </w:rPr>
      </w:pPr>
      <w:r w:rsidRPr="00254444">
        <w:rPr>
          <w:sz w:val="20"/>
          <w:szCs w:val="20"/>
          <w:lang w:val="en"/>
        </w:rPr>
        <w:t xml:space="preserve">Prior management and/or operations experience with the FDA. </w:t>
      </w:r>
    </w:p>
    <w:p w14:paraId="0BA1DA3C" w14:textId="75EC2374" w:rsidR="00254444" w:rsidRPr="00254444" w:rsidRDefault="00254444" w:rsidP="00254444">
      <w:pPr>
        <w:pStyle w:val="NoSpacing"/>
        <w:numPr>
          <w:ilvl w:val="0"/>
          <w:numId w:val="33"/>
        </w:numPr>
        <w:rPr>
          <w:sz w:val="20"/>
          <w:szCs w:val="20"/>
          <w:lang w:val="en"/>
        </w:rPr>
      </w:pPr>
      <w:r w:rsidRPr="00254444">
        <w:rPr>
          <w:sz w:val="20"/>
          <w:szCs w:val="20"/>
          <w:lang w:val="en"/>
        </w:rPr>
        <w:t>Expertise in management science.</w:t>
      </w:r>
    </w:p>
    <w:p w14:paraId="5B3DE2D2" w14:textId="7D7DBFA6" w:rsidR="00254444" w:rsidRPr="00254444" w:rsidRDefault="00254444" w:rsidP="00254444">
      <w:pPr>
        <w:pStyle w:val="NoSpacing"/>
        <w:numPr>
          <w:ilvl w:val="0"/>
          <w:numId w:val="33"/>
        </w:numPr>
        <w:rPr>
          <w:sz w:val="20"/>
          <w:szCs w:val="20"/>
          <w:lang w:val="en"/>
        </w:rPr>
      </w:pPr>
      <w:r w:rsidRPr="00254444">
        <w:rPr>
          <w:sz w:val="20"/>
          <w:szCs w:val="20"/>
          <w:lang w:val="en"/>
        </w:rPr>
        <w:t>Expertise in organizational behavior.</w:t>
      </w:r>
    </w:p>
    <w:p w14:paraId="703386E0" w14:textId="7D45D218" w:rsidR="00254444" w:rsidRPr="00254444" w:rsidRDefault="00254444" w:rsidP="00254444">
      <w:pPr>
        <w:pStyle w:val="NoSpacing"/>
        <w:numPr>
          <w:ilvl w:val="0"/>
          <w:numId w:val="33"/>
        </w:numPr>
        <w:rPr>
          <w:sz w:val="20"/>
          <w:szCs w:val="20"/>
          <w:lang w:val="en"/>
        </w:rPr>
      </w:pPr>
      <w:r w:rsidRPr="00254444">
        <w:rPr>
          <w:sz w:val="20"/>
          <w:szCs w:val="20"/>
          <w:lang w:val="en"/>
        </w:rPr>
        <w:t>Ability to build and work effectively within team.</w:t>
      </w:r>
    </w:p>
    <w:p w14:paraId="03CA317F" w14:textId="68F8E9A1" w:rsidR="00254444" w:rsidRPr="00254444" w:rsidRDefault="00254444" w:rsidP="00254444">
      <w:pPr>
        <w:pStyle w:val="NoSpacing"/>
        <w:numPr>
          <w:ilvl w:val="0"/>
          <w:numId w:val="33"/>
        </w:numPr>
        <w:rPr>
          <w:sz w:val="20"/>
          <w:szCs w:val="20"/>
          <w:lang w:val="en"/>
        </w:rPr>
      </w:pPr>
      <w:r w:rsidRPr="00254444">
        <w:rPr>
          <w:sz w:val="20"/>
          <w:szCs w:val="20"/>
          <w:lang w:val="en"/>
        </w:rPr>
        <w:t>Ability to work collaboratively with diverse staffs and stakeholders.</w:t>
      </w:r>
    </w:p>
    <w:p w14:paraId="7947D6BA" w14:textId="44039D69" w:rsidR="00254444" w:rsidRPr="00254444" w:rsidRDefault="00254444" w:rsidP="00254444">
      <w:pPr>
        <w:pStyle w:val="NoSpacing"/>
        <w:numPr>
          <w:ilvl w:val="0"/>
          <w:numId w:val="33"/>
        </w:numPr>
        <w:rPr>
          <w:sz w:val="20"/>
          <w:szCs w:val="20"/>
          <w:lang w:val="en"/>
        </w:rPr>
      </w:pPr>
      <w:r w:rsidRPr="00254444">
        <w:rPr>
          <w:sz w:val="20"/>
          <w:szCs w:val="20"/>
          <w:lang w:val="en"/>
        </w:rPr>
        <w:t>Ability to prioritize and make critical decisions.</w:t>
      </w:r>
    </w:p>
    <w:p w14:paraId="2CB6BF0B" w14:textId="04E47F4C" w:rsidR="00BB11BC" w:rsidRDefault="00397CB0" w:rsidP="7C5D6CA5">
      <w:pPr>
        <w:pStyle w:val="Heading1"/>
        <w:rPr>
          <w:sz w:val="20"/>
          <w:szCs w:val="20"/>
        </w:rPr>
      </w:pPr>
      <w:r w:rsidRPr="7C5D6CA5">
        <w:rPr>
          <w:sz w:val="20"/>
          <w:szCs w:val="20"/>
        </w:rPr>
        <w:t xml:space="preserve">Education </w:t>
      </w:r>
      <w:r w:rsidR="007F3BAA" w:rsidRPr="7C5D6CA5">
        <w:rPr>
          <w:sz w:val="20"/>
          <w:szCs w:val="20"/>
        </w:rPr>
        <w:t>Transcripts</w:t>
      </w:r>
    </w:p>
    <w:p w14:paraId="0000367F" w14:textId="65B54166" w:rsidR="00397CB0" w:rsidRDefault="00397CB0" w:rsidP="00CD7775">
      <w:pPr>
        <w:pStyle w:val="NoSpacing"/>
        <w:jc w:val="both"/>
        <w:rPr>
          <w:sz w:val="20"/>
          <w:szCs w:val="20"/>
        </w:rPr>
      </w:pPr>
      <w:r w:rsidRPr="7C5D6CA5">
        <w:rPr>
          <w:sz w:val="20"/>
          <w:szCs w:val="20"/>
          <w:u w:val="single"/>
        </w:rPr>
        <w:t>SUBMITTING YOUR TRANSCRIPTS:</w:t>
      </w:r>
      <w:r w:rsidRPr="7C5D6CA5">
        <w:rPr>
          <w:sz w:val="20"/>
          <w:szCs w:val="20"/>
        </w:rPr>
        <w:t xml:space="preserve"> Positions which are scientific or technical in nature often have very specific educational requirements. A transcript is required to verify educational achievement. Pay careful attention to the Qualifications and Education sections to identify vacancies where a transcript is required. Even if you hold a similar position or are a current FDA employee, you are not exempt from transcript requirements.</w:t>
      </w:r>
    </w:p>
    <w:p w14:paraId="759AC283" w14:textId="77777777" w:rsidR="00B01DF0" w:rsidRPr="00630B55" w:rsidRDefault="00B01DF0" w:rsidP="00CD7775">
      <w:pPr>
        <w:pStyle w:val="NoSpacing"/>
        <w:jc w:val="both"/>
        <w:rPr>
          <w:sz w:val="20"/>
          <w:szCs w:val="20"/>
        </w:rPr>
      </w:pPr>
    </w:p>
    <w:p w14:paraId="7E705EDA" w14:textId="5B11FEC4" w:rsidR="00397CB0" w:rsidRPr="00630B55" w:rsidRDefault="00397CB0" w:rsidP="00CD7775">
      <w:pPr>
        <w:pStyle w:val="NoSpacing"/>
        <w:jc w:val="both"/>
        <w:rPr>
          <w:sz w:val="20"/>
          <w:szCs w:val="20"/>
        </w:rPr>
      </w:pPr>
      <w:r w:rsidRPr="3504880D">
        <w:rPr>
          <w:sz w:val="20"/>
          <w:szCs w:val="20"/>
          <w:u w:val="single"/>
        </w:rPr>
        <w:t>F</w:t>
      </w:r>
      <w:r w:rsidR="00B023CE" w:rsidRPr="3504880D">
        <w:rPr>
          <w:sz w:val="20"/>
          <w:szCs w:val="20"/>
          <w:u w:val="single"/>
        </w:rPr>
        <w:t>OREIGN EDUCATION</w:t>
      </w:r>
      <w:r w:rsidRPr="3504880D">
        <w:rPr>
          <w:sz w:val="20"/>
          <w:szCs w:val="20"/>
          <w:u w:val="single"/>
        </w:rPr>
        <w:t>:</w:t>
      </w:r>
      <w:r w:rsidRPr="3504880D">
        <w:rPr>
          <w:sz w:val="20"/>
          <w:szCs w:val="20"/>
        </w:rPr>
        <w:t xml:space="preserve"> If you are using education completed in foreign colleges or universities to meet the qualification requirements, you must show that the education credentials have been evaluated by a private organization that specializes in interpretation of foreign education programs and such education has been deemed equivalent to that gained in an accredited U.S. education program; or full credit has been given for the courses at a U.S. accredited college or university. For more information about this requirement, please visit the </w:t>
      </w:r>
      <w:hyperlink r:id="rId14">
        <w:r w:rsidRPr="3504880D">
          <w:rPr>
            <w:rStyle w:val="Hyperlink"/>
            <w:sz w:val="20"/>
            <w:szCs w:val="20"/>
          </w:rPr>
          <w:t>U.S. Department of Education website for Foreign Education Evaluation</w:t>
        </w:r>
      </w:hyperlink>
      <w:r w:rsidRPr="3504880D">
        <w:rPr>
          <w:sz w:val="20"/>
          <w:szCs w:val="20"/>
        </w:rPr>
        <w:t>.</w:t>
      </w:r>
    </w:p>
    <w:p w14:paraId="334935C1" w14:textId="0F3CA1D3" w:rsidR="00BB11BC" w:rsidRDefault="0014698E" w:rsidP="00CD7775">
      <w:pPr>
        <w:pStyle w:val="Heading1"/>
        <w:jc w:val="both"/>
        <w:rPr>
          <w:rFonts w:eastAsia="Times New Roman"/>
          <w:sz w:val="20"/>
          <w:szCs w:val="20"/>
        </w:rPr>
      </w:pPr>
      <w:r w:rsidRPr="7C5D6CA5">
        <w:rPr>
          <w:rFonts w:eastAsia="Times New Roman"/>
          <w:sz w:val="20"/>
          <w:szCs w:val="20"/>
        </w:rPr>
        <w:t>Security Clearance Requirements</w:t>
      </w:r>
    </w:p>
    <w:p w14:paraId="23972A3C" w14:textId="77777777" w:rsidR="00C440F9" w:rsidRPr="00C440F9" w:rsidRDefault="00C440F9" w:rsidP="00CD7775">
      <w:pPr>
        <w:pStyle w:val="NoSpacing"/>
        <w:jc w:val="both"/>
        <w:rPr>
          <w:i/>
          <w:sz w:val="20"/>
          <w:szCs w:val="20"/>
        </w:rPr>
      </w:pPr>
      <w:bookmarkStart w:id="4" w:name="_Hlk101943029"/>
      <w:r w:rsidRPr="00C440F9">
        <w:rPr>
          <w:sz w:val="20"/>
          <w:szCs w:val="20"/>
        </w:rPr>
        <w:t xml:space="preserve">Background Investigation/Security Clearance Requirements: Background Investigation/Security Clearance is required. All employees must pass a security investigation. Failing to pass the background check may be grounds for removal or legal action. If hired, you may be subject to additional investigations </w:t>
      </w:r>
      <w:proofErr w:type="gramStart"/>
      <w:r w:rsidRPr="00C440F9">
        <w:rPr>
          <w:sz w:val="20"/>
          <w:szCs w:val="20"/>
        </w:rPr>
        <w:t>at a later time</w:t>
      </w:r>
      <w:proofErr w:type="gramEnd"/>
      <w:r w:rsidRPr="00C440F9">
        <w:rPr>
          <w:sz w:val="20"/>
          <w:szCs w:val="20"/>
        </w:rPr>
        <w:t xml:space="preserve">. </w:t>
      </w:r>
      <w:bookmarkEnd w:id="4"/>
    </w:p>
    <w:p w14:paraId="520CC7CE" w14:textId="6371DC20" w:rsidR="00712AED" w:rsidRPr="00FF0962" w:rsidRDefault="00712AED" w:rsidP="00CD7775">
      <w:pPr>
        <w:pStyle w:val="Heading1"/>
        <w:jc w:val="both"/>
        <w:rPr>
          <w:sz w:val="20"/>
          <w:szCs w:val="20"/>
        </w:rPr>
      </w:pPr>
      <w:r w:rsidRPr="7C5D6CA5">
        <w:rPr>
          <w:sz w:val="20"/>
          <w:szCs w:val="20"/>
        </w:rPr>
        <w:t>Ethics Clearance Requirements</w:t>
      </w:r>
    </w:p>
    <w:p w14:paraId="4CA43186" w14:textId="3B2E594B" w:rsidR="00712AED" w:rsidRPr="006E60E6" w:rsidRDefault="00712AED" w:rsidP="00CD7775">
      <w:pPr>
        <w:pStyle w:val="NoSpacing"/>
        <w:jc w:val="both"/>
        <w:rPr>
          <w:color w:val="212121"/>
          <w:sz w:val="20"/>
          <w:szCs w:val="20"/>
        </w:rPr>
      </w:pPr>
      <w:r w:rsidRPr="7C5D6CA5">
        <w:rPr>
          <w:color w:val="212121"/>
          <w:sz w:val="20"/>
          <w:szCs w:val="20"/>
        </w:rPr>
        <w:t xml:space="preserve">This position may require financial disclosure reporting and will be subject to FDA's prohibited financial interest regulation. If you are hired, you may be required to divest of certain financial interests. You are advised to seek additional information on this requirement from the hiring official before accepting any job offers. For more </w:t>
      </w:r>
      <w:proofErr w:type="gramStart"/>
      <w:r w:rsidRPr="7C5D6CA5">
        <w:rPr>
          <w:color w:val="212121"/>
          <w:sz w:val="20"/>
          <w:szCs w:val="20"/>
        </w:rPr>
        <w:t>information</w:t>
      </w:r>
      <w:proofErr w:type="gramEnd"/>
      <w:r w:rsidRPr="7C5D6CA5">
        <w:rPr>
          <w:color w:val="212121"/>
          <w:sz w:val="20"/>
          <w:szCs w:val="20"/>
        </w:rPr>
        <w:t xml:space="preserve"> please visit the FDA Ethics web page: </w:t>
      </w:r>
      <w:hyperlink r:id="rId15">
        <w:r w:rsidRPr="7C5D6CA5">
          <w:rPr>
            <w:rStyle w:val="Hyperlink"/>
            <w:sz w:val="20"/>
            <w:szCs w:val="20"/>
          </w:rPr>
          <w:t>https://www.fda.gov/about-fda/jobs-and-training-fda/ethics</w:t>
        </w:r>
      </w:hyperlink>
      <w:r w:rsidRPr="7C5D6CA5">
        <w:rPr>
          <w:color w:val="212121"/>
          <w:sz w:val="20"/>
          <w:szCs w:val="20"/>
        </w:rPr>
        <w:t xml:space="preserve">. </w:t>
      </w:r>
    </w:p>
    <w:p w14:paraId="724214A3" w14:textId="0C12922F" w:rsidR="003662E4" w:rsidRDefault="0014698E" w:rsidP="00CD7775">
      <w:pPr>
        <w:pStyle w:val="Heading1"/>
        <w:jc w:val="both"/>
        <w:rPr>
          <w:sz w:val="20"/>
          <w:szCs w:val="20"/>
        </w:rPr>
      </w:pPr>
      <w:r w:rsidRPr="7C5D6CA5">
        <w:rPr>
          <w:sz w:val="20"/>
          <w:szCs w:val="20"/>
        </w:rPr>
        <w:t xml:space="preserve">Equal Employment Opportunity </w:t>
      </w:r>
    </w:p>
    <w:p w14:paraId="4F3AD89B" w14:textId="77777777" w:rsidR="0030622E" w:rsidRPr="00112787" w:rsidRDefault="0030622E" w:rsidP="00CD7775">
      <w:pPr>
        <w:pStyle w:val="NoSpacing"/>
        <w:jc w:val="both"/>
        <w:rPr>
          <w:sz w:val="20"/>
          <w:szCs w:val="20"/>
        </w:rPr>
      </w:pPr>
      <w:r w:rsidRPr="7C5D6CA5">
        <w:rPr>
          <w:sz w:val="20"/>
          <w:szCs w:val="20"/>
        </w:rPr>
        <w:t xml:space="preserve">The United States Government does not discriminate in employment </w:t>
      </w:r>
      <w:proofErr w:type="gramStart"/>
      <w:r w:rsidRPr="7C5D6CA5">
        <w:rPr>
          <w:sz w:val="20"/>
          <w:szCs w:val="20"/>
        </w:rPr>
        <w:t>on the basis of</w:t>
      </w:r>
      <w:proofErr w:type="gramEnd"/>
      <w:r w:rsidRPr="7C5D6CA5">
        <w:rPr>
          <w:sz w:val="20"/>
          <w:szCs w:val="20"/>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1F94A51A" w14:textId="24ED45D4" w:rsidR="0030622E" w:rsidRDefault="00C36057" w:rsidP="00CD7775">
      <w:pPr>
        <w:pStyle w:val="NoSpacing"/>
        <w:jc w:val="both"/>
        <w:rPr>
          <w:rStyle w:val="Hyperlink"/>
          <w:color w:val="4C2C92"/>
          <w:sz w:val="20"/>
          <w:szCs w:val="20"/>
        </w:rPr>
      </w:pPr>
      <w:hyperlink r:id="rId16">
        <w:r w:rsidR="0030622E" w:rsidRPr="7C5D6CA5">
          <w:rPr>
            <w:rStyle w:val="Hyperlink"/>
            <w:color w:val="4C2C92"/>
            <w:sz w:val="20"/>
            <w:szCs w:val="20"/>
          </w:rPr>
          <w:t>Equal Employment Opportunity (EEO) for federal employees &amp; job applicants</w:t>
        </w:r>
      </w:hyperlink>
    </w:p>
    <w:p w14:paraId="7C1A6F53" w14:textId="036A7EC1" w:rsidR="0014698E" w:rsidRPr="00630B55" w:rsidRDefault="0014698E" w:rsidP="00CD7775">
      <w:pPr>
        <w:pStyle w:val="Heading1"/>
        <w:jc w:val="both"/>
        <w:rPr>
          <w:sz w:val="20"/>
          <w:szCs w:val="20"/>
        </w:rPr>
      </w:pPr>
      <w:r w:rsidRPr="7C5D6CA5">
        <w:rPr>
          <w:sz w:val="20"/>
          <w:szCs w:val="20"/>
        </w:rPr>
        <w:t>Reasonable Accommodation</w:t>
      </w:r>
    </w:p>
    <w:p w14:paraId="0D349DC0" w14:textId="7C247838" w:rsidR="0030622E" w:rsidRDefault="007B3F87" w:rsidP="00CD7775">
      <w:pPr>
        <w:pStyle w:val="NoSpacing"/>
        <w:jc w:val="both"/>
        <w:rPr>
          <w:rStyle w:val="Hyperlink"/>
          <w:color w:val="4C2C92"/>
          <w:sz w:val="20"/>
          <w:szCs w:val="20"/>
        </w:rPr>
      </w:pPr>
      <w:r w:rsidRPr="7C5D6CA5">
        <w:rPr>
          <w:sz w:val="20"/>
          <w:szCs w:val="20"/>
        </w:rPr>
        <w:t>Federal agencies must provide reasonable accommodation to applicants with disabilities where appropriate. Applicants requiring reasonable accommodation for any part of the application process should follow the instructions in the job opportunity announcement. For any part of the remaining hiring process, applicants should contact the hiring agency directly. Determinations on requests for reasonable accommodation will be made on a case-by-case basis.</w:t>
      </w:r>
      <w:r w:rsidR="006E60E6" w:rsidRPr="7C5D6CA5">
        <w:rPr>
          <w:sz w:val="20"/>
          <w:szCs w:val="20"/>
        </w:rPr>
        <w:t xml:space="preserve"> </w:t>
      </w:r>
      <w:r w:rsidR="0030622E" w:rsidRPr="7C5D6CA5">
        <w:rPr>
          <w:sz w:val="20"/>
          <w:szCs w:val="20"/>
        </w:rPr>
        <w:t>A reasonable accommodation is any change to a job, the work environment, or the way things are usually done that enables an individual with a disability to apply for a job, perform job duties or receive equal access to job benefits.</w:t>
      </w:r>
      <w:r w:rsidR="00327BAB" w:rsidRPr="7C5D6CA5">
        <w:rPr>
          <w:sz w:val="20"/>
          <w:szCs w:val="20"/>
        </w:rPr>
        <w:t xml:space="preserve"> </w:t>
      </w:r>
      <w:r w:rsidR="0030622E" w:rsidRPr="7C5D6CA5">
        <w:rPr>
          <w:sz w:val="20"/>
          <w:szCs w:val="20"/>
        </w:rPr>
        <w:t>Under the Rehabilitation Act of 1973, federal agencies must provide reasonable accommodations when:</w:t>
      </w:r>
      <w:r w:rsidR="00327BAB" w:rsidRPr="7C5D6CA5">
        <w:rPr>
          <w:sz w:val="20"/>
          <w:szCs w:val="20"/>
        </w:rPr>
        <w:t xml:space="preserve"> </w:t>
      </w:r>
      <w:r w:rsidR="0030622E" w:rsidRPr="7C5D6CA5">
        <w:rPr>
          <w:sz w:val="20"/>
          <w:szCs w:val="20"/>
        </w:rPr>
        <w:t>An applicant with a disability needs an accommodation to have an equal opportunity to apply for a job.</w:t>
      </w:r>
      <w:r w:rsidR="00327BAB" w:rsidRPr="7C5D6CA5">
        <w:rPr>
          <w:sz w:val="20"/>
          <w:szCs w:val="20"/>
        </w:rPr>
        <w:t xml:space="preserve"> </w:t>
      </w:r>
      <w:r w:rsidR="0030622E" w:rsidRPr="7C5D6CA5">
        <w:rPr>
          <w:sz w:val="20"/>
          <w:szCs w:val="20"/>
        </w:rPr>
        <w:t>An employee with a disability needs an accommodation to perform the essential job duties or to gain access to the workplace.</w:t>
      </w:r>
      <w:r w:rsidR="00327BAB" w:rsidRPr="7C5D6CA5">
        <w:rPr>
          <w:sz w:val="20"/>
          <w:szCs w:val="20"/>
        </w:rPr>
        <w:t xml:space="preserve"> </w:t>
      </w:r>
      <w:r w:rsidR="0030622E" w:rsidRPr="7C5D6CA5">
        <w:rPr>
          <w:sz w:val="20"/>
          <w:szCs w:val="20"/>
        </w:rPr>
        <w:t>An employee with a disability needs an accommodation to receive equal access to benefits, such as details, training, and office-sponsored events.</w:t>
      </w:r>
      <w:r w:rsidR="00327BAB" w:rsidRPr="7C5D6CA5">
        <w:rPr>
          <w:sz w:val="20"/>
          <w:szCs w:val="20"/>
        </w:rPr>
        <w:t xml:space="preserve"> </w:t>
      </w:r>
      <w:r w:rsidR="0030622E" w:rsidRPr="7C5D6CA5">
        <w:rPr>
          <w:sz w:val="20"/>
          <w:szCs w:val="20"/>
        </w:rPr>
        <w:t>You can request a reasonable accommodation at any time during the application or hiring process or while on the job. Requests are considered on a case-by-case basis.</w:t>
      </w:r>
      <w:r w:rsidR="00606C9D" w:rsidRPr="7C5D6CA5">
        <w:rPr>
          <w:color w:val="212121"/>
          <w:sz w:val="20"/>
          <w:szCs w:val="20"/>
        </w:rPr>
        <w:t xml:space="preserve"> </w:t>
      </w:r>
      <w:r w:rsidR="0030622E" w:rsidRPr="7C5D6CA5">
        <w:rPr>
          <w:color w:val="212121"/>
          <w:sz w:val="20"/>
          <w:szCs w:val="20"/>
        </w:rPr>
        <w:t>Learn more about </w:t>
      </w:r>
      <w:hyperlink r:id="rId17">
        <w:r w:rsidR="0030622E" w:rsidRPr="7C5D6CA5">
          <w:rPr>
            <w:rStyle w:val="Hyperlink"/>
            <w:color w:val="4C2C92"/>
            <w:sz w:val="20"/>
            <w:szCs w:val="20"/>
          </w:rPr>
          <w:t>disability employment and reasonable accommodations</w:t>
        </w:r>
      </w:hyperlink>
      <w:r w:rsidR="0030622E" w:rsidRPr="7C5D6CA5">
        <w:rPr>
          <w:color w:val="212121"/>
          <w:sz w:val="20"/>
          <w:szCs w:val="20"/>
        </w:rPr>
        <w:t> or </w:t>
      </w:r>
      <w:hyperlink r:id="rId18">
        <w:r w:rsidR="0030622E" w:rsidRPr="7C5D6CA5">
          <w:rPr>
            <w:rStyle w:val="Hyperlink"/>
            <w:color w:val="4C2C92"/>
            <w:sz w:val="20"/>
            <w:szCs w:val="20"/>
          </w:rPr>
          <w:t>how to contact an agency.</w:t>
        </w:r>
      </w:hyperlink>
    </w:p>
    <w:p w14:paraId="7EBFD9C1" w14:textId="12CEF439" w:rsidR="00DC510B" w:rsidRDefault="00DC510B" w:rsidP="00CD7775">
      <w:pPr>
        <w:pStyle w:val="Heading1"/>
        <w:jc w:val="both"/>
        <w:rPr>
          <w:sz w:val="20"/>
          <w:szCs w:val="20"/>
        </w:rPr>
      </w:pPr>
      <w:r w:rsidRPr="7C5D6CA5">
        <w:rPr>
          <w:sz w:val="20"/>
          <w:szCs w:val="20"/>
        </w:rPr>
        <w:t>E-Verify</w:t>
      </w:r>
    </w:p>
    <w:p w14:paraId="287BEF39" w14:textId="55591C66" w:rsidR="00DC510B" w:rsidRDefault="00DC510B" w:rsidP="00CD7775">
      <w:pPr>
        <w:pStyle w:val="NoSpacing"/>
        <w:jc w:val="both"/>
        <w:rPr>
          <w:sz w:val="20"/>
          <w:szCs w:val="20"/>
        </w:rPr>
      </w:pPr>
      <w:r w:rsidRPr="7C5D6CA5">
        <w:rPr>
          <w:sz w:val="20"/>
          <w:szCs w:val="20"/>
        </w:rPr>
        <w:t>The Food and Drug Administration participates in the USCIS Electronic Employment Eligibility Verification Program (E-Verify). E-Verify helps employers determine employment eligibility of new hires and the validity of their Social Security numbers.</w:t>
      </w:r>
    </w:p>
    <w:p w14:paraId="703D3F16" w14:textId="77777777" w:rsidR="000C7D05" w:rsidRDefault="000C7D05" w:rsidP="00CD7775">
      <w:pPr>
        <w:pStyle w:val="Heading1"/>
        <w:jc w:val="both"/>
        <w:rPr>
          <w:rFonts w:eastAsia="Times New Roman" w:cstheme="minorBidi"/>
          <w:i/>
          <w:iCs/>
          <w:sz w:val="20"/>
          <w:szCs w:val="20"/>
        </w:rPr>
      </w:pPr>
      <w:r w:rsidRPr="7C5D6CA5">
        <w:rPr>
          <w:sz w:val="20"/>
          <w:szCs w:val="20"/>
        </w:rPr>
        <w:t>How to Apply</w:t>
      </w:r>
    </w:p>
    <w:p w14:paraId="55993525" w14:textId="01868F14" w:rsidR="00283116" w:rsidRPr="00783B19" w:rsidRDefault="00897897" w:rsidP="00CD7775">
      <w:pPr>
        <w:pStyle w:val="NoSpacing"/>
        <w:jc w:val="both"/>
        <w:rPr>
          <w:sz w:val="20"/>
          <w:szCs w:val="20"/>
        </w:rPr>
      </w:pPr>
      <w:bookmarkStart w:id="5" w:name="_Hlk101943051"/>
      <w:r w:rsidRPr="3504880D">
        <w:rPr>
          <w:sz w:val="20"/>
          <w:szCs w:val="20"/>
        </w:rPr>
        <w:t>Please submit electronic resume or curriculum vitae (please be sure to clearly define the number of years using month and year training completed, in addition to describing duties performed during that time period), SF50 (if applicable), latest PMAP (if applicable),</w:t>
      </w:r>
      <w:r w:rsidR="00492CAF">
        <w:rPr>
          <w:sz w:val="20"/>
          <w:szCs w:val="20"/>
        </w:rPr>
        <w:t xml:space="preserve"> unofficial transcripts</w:t>
      </w:r>
      <w:r w:rsidRPr="3504880D">
        <w:rPr>
          <w:sz w:val="20"/>
          <w:szCs w:val="20"/>
        </w:rPr>
        <w:t xml:space="preserve"> and letter of interest with </w:t>
      </w:r>
      <w:r w:rsidRPr="3504880D">
        <w:rPr>
          <w:b/>
          <w:bCs/>
          <w:i/>
          <w:iCs/>
          <w:sz w:val="20"/>
          <w:szCs w:val="20"/>
        </w:rPr>
        <w:t>“</w:t>
      </w:r>
      <w:r w:rsidRPr="00254444">
        <w:rPr>
          <w:b/>
          <w:bCs/>
          <w:i/>
          <w:iCs/>
          <w:sz w:val="20"/>
          <w:szCs w:val="20"/>
        </w:rPr>
        <w:t>CURES CBER/</w:t>
      </w:r>
      <w:r w:rsidR="00254444" w:rsidRPr="00254444">
        <w:rPr>
          <w:b/>
          <w:bCs/>
          <w:i/>
          <w:iCs/>
          <w:sz w:val="20"/>
          <w:szCs w:val="20"/>
        </w:rPr>
        <w:t>OM/DMPA Division Director</w:t>
      </w:r>
      <w:r w:rsidRPr="00254444">
        <w:rPr>
          <w:b/>
          <w:bCs/>
          <w:i/>
          <w:iCs/>
          <w:sz w:val="20"/>
          <w:szCs w:val="20"/>
        </w:rPr>
        <w:t xml:space="preserve">” </w:t>
      </w:r>
      <w:r w:rsidRPr="00254444">
        <w:rPr>
          <w:i/>
          <w:iCs/>
          <w:sz w:val="20"/>
          <w:szCs w:val="20"/>
        </w:rPr>
        <w:t xml:space="preserve"> </w:t>
      </w:r>
      <w:r w:rsidRPr="3504880D">
        <w:rPr>
          <w:sz w:val="20"/>
          <w:szCs w:val="20"/>
          <w:shd w:val="clear" w:color="auto" w:fill="FFFFFF"/>
        </w:rPr>
        <w:t>in the subject line to:</w:t>
      </w:r>
      <w:r w:rsidRPr="3504880D">
        <w:rPr>
          <w:rFonts w:eastAsia="Times New Roman"/>
          <w:sz w:val="20"/>
          <w:szCs w:val="20"/>
        </w:rPr>
        <w:t xml:space="preserve"> </w:t>
      </w:r>
      <w:hyperlink r:id="rId19" w:history="1">
        <w:r w:rsidRPr="3504880D">
          <w:rPr>
            <w:rStyle w:val="Hyperlink"/>
            <w:sz w:val="20"/>
            <w:szCs w:val="20"/>
          </w:rPr>
          <w:t>CBERHumanCapital@fda.hhs.gov</w:t>
        </w:r>
      </w:hyperlink>
      <w:r w:rsidRPr="3504880D">
        <w:rPr>
          <w:rStyle w:val="Hyperlink"/>
          <w:sz w:val="20"/>
          <w:szCs w:val="20"/>
        </w:rPr>
        <w:t>.</w:t>
      </w:r>
      <w:r w:rsidRPr="3504880D">
        <w:rPr>
          <w:rStyle w:val="Hyperlink"/>
          <w:b/>
          <w:bCs/>
          <w:color w:val="000000" w:themeColor="text1"/>
          <w:sz w:val="20"/>
          <w:szCs w:val="20"/>
        </w:rPr>
        <w:t xml:space="preserve"> Applications will be accepted through </w:t>
      </w:r>
      <w:bookmarkEnd w:id="5"/>
      <w:r w:rsidR="00204E63">
        <w:rPr>
          <w:rStyle w:val="Hyperlink"/>
          <w:b/>
          <w:bCs/>
          <w:color w:val="FF0000"/>
          <w:sz w:val="20"/>
          <w:szCs w:val="20"/>
        </w:rPr>
        <w:t>August 4, 2023.</w:t>
      </w:r>
    </w:p>
    <w:p w14:paraId="60653051" w14:textId="7B7F42F2" w:rsidR="00F179E5" w:rsidRPr="00630B55" w:rsidRDefault="0014698E" w:rsidP="00CD7775">
      <w:pPr>
        <w:pStyle w:val="Heading1"/>
        <w:jc w:val="both"/>
        <w:rPr>
          <w:sz w:val="20"/>
          <w:szCs w:val="20"/>
          <w:lang w:val="en"/>
        </w:rPr>
      </w:pPr>
      <w:r w:rsidRPr="7C5D6CA5">
        <w:rPr>
          <w:sz w:val="20"/>
          <w:szCs w:val="20"/>
          <w:lang w:val="en"/>
        </w:rPr>
        <w:t>Announcement Contact</w:t>
      </w:r>
    </w:p>
    <w:p w14:paraId="0D49AB80" w14:textId="472F4073" w:rsidR="002A17F1" w:rsidRPr="005B65C4" w:rsidRDefault="004E3BC2" w:rsidP="00CD7775">
      <w:pPr>
        <w:pStyle w:val="NoSpacing"/>
        <w:jc w:val="both"/>
        <w:rPr>
          <w:sz w:val="20"/>
          <w:szCs w:val="20"/>
        </w:rPr>
      </w:pPr>
      <w:r w:rsidRPr="7C5D6CA5">
        <w:rPr>
          <w:rFonts w:eastAsia="Times New Roman"/>
          <w:sz w:val="20"/>
          <w:szCs w:val="20"/>
        </w:rPr>
        <w:t xml:space="preserve">For questions regarding this </w:t>
      </w:r>
      <w:r w:rsidR="00112787" w:rsidRPr="7C5D6CA5">
        <w:rPr>
          <w:rFonts w:eastAsia="Times New Roman"/>
          <w:sz w:val="20"/>
          <w:szCs w:val="20"/>
        </w:rPr>
        <w:t>C</w:t>
      </w:r>
      <w:r w:rsidRPr="7C5D6CA5">
        <w:rPr>
          <w:rFonts w:eastAsia="Times New Roman"/>
          <w:sz w:val="20"/>
          <w:szCs w:val="20"/>
        </w:rPr>
        <w:t>ures position, please contact</w:t>
      </w:r>
      <w:r w:rsidR="00783B19">
        <w:rPr>
          <w:rFonts w:eastAsia="Times New Roman"/>
          <w:sz w:val="20"/>
          <w:szCs w:val="20"/>
        </w:rPr>
        <w:t xml:space="preserve"> </w:t>
      </w:r>
      <w:hyperlink r:id="rId20" w:history="1">
        <w:r w:rsidR="00783B19" w:rsidRPr="00BB5359">
          <w:rPr>
            <w:rStyle w:val="Hyperlink"/>
            <w:rFonts w:eastAsia="Times New Roman"/>
            <w:sz w:val="20"/>
            <w:szCs w:val="20"/>
          </w:rPr>
          <w:t>CBERHumanCapital@fda.hhs.gov</w:t>
        </w:r>
      </w:hyperlink>
      <w:r w:rsidR="00783B19">
        <w:rPr>
          <w:rFonts w:eastAsia="Times New Roman"/>
          <w:sz w:val="20"/>
          <w:szCs w:val="20"/>
        </w:rPr>
        <w:t xml:space="preserve">. </w:t>
      </w:r>
    </w:p>
    <w:p w14:paraId="5E44F343" w14:textId="77777777" w:rsidR="002A17F1" w:rsidRPr="005B65C4" w:rsidRDefault="002A17F1" w:rsidP="00CD7775">
      <w:pPr>
        <w:pStyle w:val="NoSpacing"/>
        <w:jc w:val="both"/>
        <w:rPr>
          <w:sz w:val="20"/>
          <w:szCs w:val="20"/>
        </w:rPr>
      </w:pPr>
    </w:p>
    <w:p w14:paraId="16354029" w14:textId="0D32AA70" w:rsidR="007B295A" w:rsidRPr="00630B55" w:rsidRDefault="002A17F1" w:rsidP="7C5D6CA5">
      <w:pPr>
        <w:pStyle w:val="NoSpacing"/>
        <w:jc w:val="center"/>
        <w:rPr>
          <w:rFonts w:eastAsia="Times New Roman"/>
          <w:sz w:val="20"/>
          <w:szCs w:val="20"/>
        </w:rPr>
      </w:pPr>
      <w:r w:rsidRPr="7C5D6CA5">
        <w:rPr>
          <w:rFonts w:eastAsia="Times New Roman"/>
          <w:sz w:val="20"/>
          <w:szCs w:val="20"/>
        </w:rPr>
        <w:t>The Department of Health and Human Service</w:t>
      </w:r>
      <w:r w:rsidR="00BA1CC2" w:rsidRPr="7C5D6CA5">
        <w:rPr>
          <w:rFonts w:eastAsia="Times New Roman"/>
          <w:sz w:val="20"/>
          <w:szCs w:val="20"/>
        </w:rPr>
        <w:t>s</w:t>
      </w:r>
      <w:r w:rsidRPr="7C5D6CA5">
        <w:rPr>
          <w:rFonts w:eastAsia="Times New Roman"/>
          <w:sz w:val="20"/>
          <w:szCs w:val="20"/>
        </w:rPr>
        <w:t xml:space="preserve"> is an equal opportunity employer with a smoke</w:t>
      </w:r>
      <w:r w:rsidR="006E60E6" w:rsidRPr="7C5D6CA5">
        <w:rPr>
          <w:rFonts w:eastAsia="Times New Roman"/>
          <w:sz w:val="20"/>
          <w:szCs w:val="20"/>
        </w:rPr>
        <w:t>-</w:t>
      </w:r>
      <w:r w:rsidRPr="7C5D6CA5">
        <w:rPr>
          <w:rFonts w:eastAsia="Times New Roman"/>
          <w:sz w:val="20"/>
          <w:szCs w:val="20"/>
        </w:rPr>
        <w:t>free environment.</w:t>
      </w:r>
    </w:p>
    <w:p w14:paraId="13EB312D" w14:textId="77777777" w:rsidR="00D82EB4" w:rsidRPr="00630B55" w:rsidRDefault="00D82EB4" w:rsidP="7C5D6CA5">
      <w:pPr>
        <w:pStyle w:val="NoSpacing"/>
        <w:jc w:val="center"/>
        <w:rPr>
          <w:sz w:val="20"/>
          <w:szCs w:val="20"/>
        </w:rPr>
      </w:pPr>
    </w:p>
    <w:p w14:paraId="2954BC46" w14:textId="77777777" w:rsidR="003F2625" w:rsidRPr="00630B55" w:rsidRDefault="003F2625" w:rsidP="7C5D6CA5">
      <w:pPr>
        <w:pStyle w:val="NoSpacing"/>
        <w:jc w:val="center"/>
        <w:rPr>
          <w:i/>
          <w:iCs/>
          <w:sz w:val="20"/>
          <w:szCs w:val="20"/>
        </w:rPr>
      </w:pPr>
      <w:r w:rsidRPr="7C5D6CA5">
        <w:rPr>
          <w:i/>
          <w:iCs/>
          <w:sz w:val="20"/>
          <w:szCs w:val="20"/>
        </w:rPr>
        <w:t>FDA is an equal opportunity employer.</w:t>
      </w:r>
    </w:p>
    <w:p w14:paraId="32C7A093" w14:textId="366ADA21" w:rsidR="00D82EB4" w:rsidRPr="00630B55" w:rsidRDefault="00D82EB4" w:rsidP="7C5D6CA5">
      <w:pPr>
        <w:pStyle w:val="NoSpacing"/>
        <w:rPr>
          <w:sz w:val="20"/>
          <w:szCs w:val="20"/>
        </w:rPr>
      </w:pPr>
    </w:p>
    <w:p w14:paraId="2F67E465" w14:textId="3C3EE73D" w:rsidR="003F2625" w:rsidRPr="00630B55" w:rsidRDefault="00AD6AB8" w:rsidP="7C5D6CA5">
      <w:pPr>
        <w:pStyle w:val="NoSpacing"/>
        <w:rPr>
          <w:sz w:val="20"/>
          <w:szCs w:val="20"/>
        </w:rPr>
      </w:pPr>
      <w:r w:rsidRPr="00630B55">
        <w:rPr>
          <w:rFonts w:cstheme="minorHAnsi"/>
          <w:noProof/>
          <w:sz w:val="24"/>
          <w:szCs w:val="24"/>
        </w:rPr>
        <w:drawing>
          <wp:anchor distT="0" distB="0" distL="114300" distR="114300" simplePos="0" relativeHeight="251658240" behindDoc="1" locked="0" layoutInCell="1" allowOverlap="1" wp14:anchorId="3FB1CAFC" wp14:editId="0AB8CE2C">
            <wp:simplePos x="0" y="0"/>
            <wp:positionH relativeFrom="margin">
              <wp:align>center</wp:align>
            </wp:positionH>
            <wp:positionV relativeFrom="paragraph">
              <wp:posOffset>153035</wp:posOffset>
            </wp:positionV>
            <wp:extent cx="882595" cy="870505"/>
            <wp:effectExtent l="0" t="0" r="0" b="6350"/>
            <wp:wrapNone/>
            <wp:docPr id="3" name="Picture 3" descr="DHHS Logo"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2595" cy="870505"/>
                    </a:xfrm>
                    <a:prstGeom prst="rect">
                      <a:avLst/>
                    </a:prstGeom>
                    <a:noFill/>
                  </pic:spPr>
                </pic:pic>
              </a:graphicData>
            </a:graphic>
          </wp:anchor>
        </w:drawing>
      </w:r>
    </w:p>
    <w:sectPr w:rsidR="003F2625" w:rsidRPr="00630B55" w:rsidSect="00367292">
      <w:footerReference w:type="default" r:id="rId22"/>
      <w:headerReference w:type="first" r:id="rId23"/>
      <w:footerReference w:type="first" r:id="rId24"/>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FFBD" w14:textId="77777777" w:rsidR="00700ECC" w:rsidRDefault="00700ECC">
      <w:pPr>
        <w:spacing w:after="0" w:line="240" w:lineRule="auto"/>
      </w:pPr>
      <w:r>
        <w:separator/>
      </w:r>
    </w:p>
  </w:endnote>
  <w:endnote w:type="continuationSeparator" w:id="0">
    <w:p w14:paraId="0491BE18" w14:textId="77777777" w:rsidR="00700ECC" w:rsidRDefault="0070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F4D9" w14:textId="77777777" w:rsidR="003C6921" w:rsidRDefault="001E0032">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19893B2" wp14:editId="1566E663">
              <wp:simplePos x="0" y="0"/>
              <wp:positionH relativeFrom="page">
                <wp:posOffset>3825875</wp:posOffset>
              </wp:positionH>
              <wp:positionV relativeFrom="page">
                <wp:posOffset>8970010</wp:posOffset>
              </wp:positionV>
              <wp:extent cx="121920" cy="165735"/>
              <wp:effectExtent l="0" t="0" r="17780" b="5715"/>
              <wp:wrapNone/>
              <wp:docPr id="1" name="Text Box 1" descr="Page number 5"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E3DB" w14:textId="77777777" w:rsidR="003C6921" w:rsidRDefault="00541CB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03C70">
                            <w:rPr>
                              <w:rFonts w:ascii="Calibri" w:eastAsia="Calibri" w:hAnsi="Calibri" w:cs="Calibri"/>
                              <w:noProof/>
                              <w:position w:val="1"/>
                            </w:rPr>
                            <w:t>5</w:t>
                          </w:r>
                          <w: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93B2" id="_x0000_t202" coordsize="21600,21600" o:spt="202" path="m,l,21600r21600,l21600,xe">
              <v:stroke joinstyle="miter"/>
              <v:path gradientshapeok="t" o:connecttype="rect"/>
            </v:shapetype>
            <v:shape id="Text Box 1" o:spid="_x0000_s1026" type="#_x0000_t202" alt="Title: Page number - Description: Page number 5" style="position:absolute;margin-left:301.25pt;margin-top:706.3pt;width:9.6pt;height:13.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" filled="f" stroked="f">
              <v:textbox inset="0,0,0,0">
                <w:txbxContent>
                  <w:p w14:paraId="3EBDE3DB" w14:textId="77777777" w:rsidR="003C6921" w:rsidRDefault="00541CB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03C70">
                      <w:rPr>
                        <w:rFonts w:ascii="Calibri" w:eastAsia="Calibri" w:hAnsi="Calibri" w:cs="Calibri"/>
                        <w:noProof/>
                        <w:position w:val="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2C50" w14:textId="64A9D64E" w:rsidR="00367292" w:rsidRDefault="00367292" w:rsidP="00367292">
    <w:pPr>
      <w:pStyle w:val="Footer"/>
      <w:jc w:val="right"/>
    </w:pPr>
    <w:r>
      <w:t>Version: 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2D36" w14:textId="77777777" w:rsidR="00700ECC" w:rsidRDefault="00700ECC">
      <w:pPr>
        <w:spacing w:after="0" w:line="240" w:lineRule="auto"/>
      </w:pPr>
      <w:r>
        <w:separator/>
      </w:r>
    </w:p>
  </w:footnote>
  <w:footnote w:type="continuationSeparator" w:id="0">
    <w:p w14:paraId="6EDCCE64" w14:textId="77777777" w:rsidR="00700ECC" w:rsidRDefault="00700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1CA" w14:textId="4991154C" w:rsidR="00D82EB4" w:rsidRDefault="00D82EB4" w:rsidP="00D82EB4">
    <w:pPr>
      <w:pStyle w:val="Header"/>
      <w:jc w:val="center"/>
    </w:pPr>
  </w:p>
  <w:p w14:paraId="0C261FDE" w14:textId="77777777" w:rsidR="00D82EB4" w:rsidRDefault="00D82EB4" w:rsidP="00D82EB4">
    <w:pPr>
      <w:pStyle w:val="Header"/>
      <w:jc w:val="center"/>
    </w:pPr>
  </w:p>
  <w:p w14:paraId="2DA144F2" w14:textId="024706A7" w:rsidR="008775BD" w:rsidRDefault="0030622E" w:rsidP="00F354B9">
    <w:pPr>
      <w:pStyle w:val="Header"/>
      <w:jc w:val="center"/>
    </w:pPr>
    <w:r>
      <w:rPr>
        <w:noProof/>
      </w:rPr>
      <w:drawing>
        <wp:inline distT="0" distB="0" distL="0" distR="0" wp14:anchorId="79D6DAE1" wp14:editId="03C2CCED">
          <wp:extent cx="3479800" cy="829798"/>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A Logo.png"/>
                  <pic:cNvPicPr/>
                </pic:nvPicPr>
                <pic:blipFill>
                  <a:blip r:embed="rId1">
                    <a:extLst>
                      <a:ext uri="{28A0092B-C50C-407E-A947-70E740481C1C}">
                        <a14:useLocalDpi xmlns:a14="http://schemas.microsoft.com/office/drawing/2010/main" val="0"/>
                      </a:ext>
                    </a:extLst>
                  </a:blip>
                  <a:stretch>
                    <a:fillRect/>
                  </a:stretch>
                </pic:blipFill>
                <pic:spPr>
                  <a:xfrm>
                    <a:off x="0" y="0"/>
                    <a:ext cx="3532326" cy="842323"/>
                  </a:xfrm>
                  <a:prstGeom prst="rect">
                    <a:avLst/>
                  </a:prstGeom>
                </pic:spPr>
              </pic:pic>
            </a:graphicData>
          </a:graphic>
        </wp:inline>
      </w:drawing>
    </w:r>
  </w:p>
  <w:p w14:paraId="1EDEB25A" w14:textId="77777777" w:rsidR="008775BD" w:rsidRDefault="00F354B9" w:rsidP="00F354B9">
    <w:pPr>
      <w:pStyle w:val="Header"/>
      <w:tabs>
        <w:tab w:val="left" w:pos="12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367A9E"/>
    <w:lvl w:ilvl="0">
      <w:numFmt w:val="bullet"/>
      <w:lvlText w:val="*"/>
      <w:lvlJc w:val="left"/>
    </w:lvl>
  </w:abstractNum>
  <w:abstractNum w:abstractNumId="1" w15:restartNumberingAfterBreak="0">
    <w:nsid w:val="00A91452"/>
    <w:multiLevelType w:val="hybridMultilevel"/>
    <w:tmpl w:val="7FEE2F6E"/>
    <w:lvl w:ilvl="0" w:tplc="44B2C49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77AF"/>
    <w:multiLevelType w:val="hybridMultilevel"/>
    <w:tmpl w:val="F4C8429C"/>
    <w:lvl w:ilvl="0" w:tplc="E65606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56B01"/>
    <w:multiLevelType w:val="hybridMultilevel"/>
    <w:tmpl w:val="B28A0566"/>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4" w15:restartNumberingAfterBreak="0">
    <w:nsid w:val="18F40CD4"/>
    <w:multiLevelType w:val="hybridMultilevel"/>
    <w:tmpl w:val="C3400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7A1640"/>
    <w:multiLevelType w:val="hybridMultilevel"/>
    <w:tmpl w:val="FDBA8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665D45"/>
    <w:multiLevelType w:val="hybridMultilevel"/>
    <w:tmpl w:val="BA1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8401FB"/>
    <w:multiLevelType w:val="multilevel"/>
    <w:tmpl w:val="47EC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01B6C"/>
    <w:multiLevelType w:val="hybridMultilevel"/>
    <w:tmpl w:val="BDB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820C6"/>
    <w:multiLevelType w:val="hybridMultilevel"/>
    <w:tmpl w:val="7F9E5858"/>
    <w:lvl w:ilvl="0" w:tplc="8334DD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61C8A"/>
    <w:multiLevelType w:val="hybridMultilevel"/>
    <w:tmpl w:val="ED02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C01C5"/>
    <w:multiLevelType w:val="multilevel"/>
    <w:tmpl w:val="C8C01050"/>
    <w:lvl w:ilvl="0">
      <w:start w:val="1"/>
      <w:numFmt w:val="upperLetter"/>
      <w:pStyle w:val="ListNumber"/>
      <w:lvlText w:val="%1."/>
      <w:lvlJc w:val="left"/>
      <w:pPr>
        <w:ind w:left="360" w:hanging="360"/>
      </w:pPr>
    </w:lvl>
    <w:lvl w:ilvl="1">
      <w:start w:val="1"/>
      <w:numFmt w:val="decimal"/>
      <w:pStyle w:val="ListNumber2"/>
      <w:lvlText w:val="%2."/>
      <w:lvlJc w:val="left"/>
      <w:pPr>
        <w:ind w:left="720" w:hanging="360"/>
      </w:pPr>
    </w:lvl>
    <w:lvl w:ilvl="2">
      <w:start w:val="1"/>
      <w:numFmt w:val="lowerLetter"/>
      <w:pStyle w:val="ListNumber3"/>
      <w:lvlText w:val="%3."/>
      <w:lvlJc w:val="left"/>
      <w:pPr>
        <w:ind w:left="1080" w:hanging="360"/>
      </w:pPr>
    </w:lvl>
    <w:lvl w:ilvl="3">
      <w:start w:val="1"/>
      <w:numFmt w:val="decimal"/>
      <w:pStyle w:val="ListNumbe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2C55E6"/>
    <w:multiLevelType w:val="hybridMultilevel"/>
    <w:tmpl w:val="991E86FC"/>
    <w:lvl w:ilvl="0" w:tplc="FBFEEF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16ED7"/>
    <w:multiLevelType w:val="multilevel"/>
    <w:tmpl w:val="1AE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E637C"/>
    <w:multiLevelType w:val="hybridMultilevel"/>
    <w:tmpl w:val="C30EA24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43F57"/>
    <w:multiLevelType w:val="hybridMultilevel"/>
    <w:tmpl w:val="61E89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0B4B92"/>
    <w:multiLevelType w:val="hybridMultilevel"/>
    <w:tmpl w:val="BC0CB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24346F"/>
    <w:multiLevelType w:val="hybridMultilevel"/>
    <w:tmpl w:val="8532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F84E3C"/>
    <w:multiLevelType w:val="hybridMultilevel"/>
    <w:tmpl w:val="F056D158"/>
    <w:lvl w:ilvl="0" w:tplc="D8CA48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846D29"/>
    <w:multiLevelType w:val="hybridMultilevel"/>
    <w:tmpl w:val="61B6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0E6763"/>
    <w:multiLevelType w:val="hybridMultilevel"/>
    <w:tmpl w:val="3BD00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DA07DF"/>
    <w:multiLevelType w:val="hybridMultilevel"/>
    <w:tmpl w:val="5176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33D40"/>
    <w:multiLevelType w:val="hybridMultilevel"/>
    <w:tmpl w:val="FBAC9F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E4C32"/>
    <w:multiLevelType w:val="hybridMultilevel"/>
    <w:tmpl w:val="D4008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D44F60"/>
    <w:multiLevelType w:val="multilevel"/>
    <w:tmpl w:val="949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00056"/>
    <w:multiLevelType w:val="hybridMultilevel"/>
    <w:tmpl w:val="CE74C688"/>
    <w:lvl w:ilvl="0" w:tplc="DD44F60A">
      <w:start w:val="1"/>
      <w:numFmt w:val="bullet"/>
      <w:lvlText w:val=""/>
      <w:lvlJc w:val="left"/>
      <w:pPr>
        <w:ind w:left="720" w:hanging="360"/>
      </w:pPr>
      <w:rPr>
        <w:rFonts w:ascii="Wingdings" w:hAnsi="Wingdings" w:hint="default"/>
      </w:rPr>
    </w:lvl>
    <w:lvl w:ilvl="1" w:tplc="77A6AAFA">
      <w:start w:val="1"/>
      <w:numFmt w:val="bullet"/>
      <w:lvlText w:val="o"/>
      <w:lvlJc w:val="left"/>
      <w:pPr>
        <w:ind w:left="1440" w:hanging="360"/>
      </w:pPr>
      <w:rPr>
        <w:rFonts w:ascii="Courier New" w:hAnsi="Courier New" w:hint="default"/>
      </w:rPr>
    </w:lvl>
    <w:lvl w:ilvl="2" w:tplc="AFACE57E">
      <w:start w:val="1"/>
      <w:numFmt w:val="bullet"/>
      <w:lvlText w:val=""/>
      <w:lvlJc w:val="left"/>
      <w:pPr>
        <w:ind w:left="2160" w:hanging="360"/>
      </w:pPr>
      <w:rPr>
        <w:rFonts w:ascii="Wingdings" w:hAnsi="Wingdings" w:hint="default"/>
      </w:rPr>
    </w:lvl>
    <w:lvl w:ilvl="3" w:tplc="CF966CC0">
      <w:start w:val="1"/>
      <w:numFmt w:val="bullet"/>
      <w:lvlText w:val=""/>
      <w:lvlJc w:val="left"/>
      <w:pPr>
        <w:ind w:left="2880" w:hanging="360"/>
      </w:pPr>
      <w:rPr>
        <w:rFonts w:ascii="Symbol" w:hAnsi="Symbol" w:hint="default"/>
      </w:rPr>
    </w:lvl>
    <w:lvl w:ilvl="4" w:tplc="8990EB8A">
      <w:start w:val="1"/>
      <w:numFmt w:val="bullet"/>
      <w:lvlText w:val="o"/>
      <w:lvlJc w:val="left"/>
      <w:pPr>
        <w:ind w:left="3600" w:hanging="360"/>
      </w:pPr>
      <w:rPr>
        <w:rFonts w:ascii="Courier New" w:hAnsi="Courier New" w:hint="default"/>
      </w:rPr>
    </w:lvl>
    <w:lvl w:ilvl="5" w:tplc="8E7219D6">
      <w:start w:val="1"/>
      <w:numFmt w:val="bullet"/>
      <w:lvlText w:val=""/>
      <w:lvlJc w:val="left"/>
      <w:pPr>
        <w:ind w:left="4320" w:hanging="360"/>
      </w:pPr>
      <w:rPr>
        <w:rFonts w:ascii="Wingdings" w:hAnsi="Wingdings" w:hint="default"/>
      </w:rPr>
    </w:lvl>
    <w:lvl w:ilvl="6" w:tplc="881AF1F8">
      <w:start w:val="1"/>
      <w:numFmt w:val="bullet"/>
      <w:lvlText w:val=""/>
      <w:lvlJc w:val="left"/>
      <w:pPr>
        <w:ind w:left="5040" w:hanging="360"/>
      </w:pPr>
      <w:rPr>
        <w:rFonts w:ascii="Symbol" w:hAnsi="Symbol" w:hint="default"/>
      </w:rPr>
    </w:lvl>
    <w:lvl w:ilvl="7" w:tplc="59F477AE">
      <w:start w:val="1"/>
      <w:numFmt w:val="bullet"/>
      <w:lvlText w:val="o"/>
      <w:lvlJc w:val="left"/>
      <w:pPr>
        <w:ind w:left="5760" w:hanging="360"/>
      </w:pPr>
      <w:rPr>
        <w:rFonts w:ascii="Courier New" w:hAnsi="Courier New" w:hint="default"/>
      </w:rPr>
    </w:lvl>
    <w:lvl w:ilvl="8" w:tplc="C4A815E8">
      <w:start w:val="1"/>
      <w:numFmt w:val="bullet"/>
      <w:lvlText w:val=""/>
      <w:lvlJc w:val="left"/>
      <w:pPr>
        <w:ind w:left="6480" w:hanging="360"/>
      </w:pPr>
      <w:rPr>
        <w:rFonts w:ascii="Wingdings" w:hAnsi="Wingdings" w:hint="default"/>
      </w:rPr>
    </w:lvl>
  </w:abstractNum>
  <w:abstractNum w:abstractNumId="26" w15:restartNumberingAfterBreak="0">
    <w:nsid w:val="6BF97C7B"/>
    <w:multiLevelType w:val="hybridMultilevel"/>
    <w:tmpl w:val="4DB22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775ED"/>
    <w:multiLevelType w:val="hybridMultilevel"/>
    <w:tmpl w:val="C2CEE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303825"/>
    <w:multiLevelType w:val="hybridMultilevel"/>
    <w:tmpl w:val="2C1CBC32"/>
    <w:lvl w:ilvl="0" w:tplc="04090001">
      <w:start w:val="1"/>
      <w:numFmt w:val="bullet"/>
      <w:lvlText w:val=""/>
      <w:lvlJc w:val="left"/>
      <w:pPr>
        <w:tabs>
          <w:tab w:val="num" w:pos="720"/>
        </w:tabs>
        <w:ind w:left="720" w:hanging="360"/>
      </w:pPr>
      <w:rPr>
        <w:rFonts w:ascii="Symbol" w:hAnsi="Symbol" w:hint="default"/>
      </w:rPr>
    </w:lvl>
    <w:lvl w:ilvl="1" w:tplc="44B2C492">
      <w:numFmt w:val="bullet"/>
      <w:lvlText w:val=""/>
      <w:lvlJc w:val="left"/>
      <w:pPr>
        <w:tabs>
          <w:tab w:val="num" w:pos="1440"/>
        </w:tabs>
        <w:ind w:left="1440" w:hanging="360"/>
      </w:pPr>
      <w:rPr>
        <w:rFonts w:ascii="Wingdings" w:eastAsia="Wingdings" w:hAnsi="Wingdings"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4A9438D"/>
    <w:multiLevelType w:val="hybridMultilevel"/>
    <w:tmpl w:val="781EA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4E37E1"/>
    <w:multiLevelType w:val="hybridMultilevel"/>
    <w:tmpl w:val="FFA2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050C6"/>
    <w:multiLevelType w:val="hybridMultilevel"/>
    <w:tmpl w:val="00AAB444"/>
    <w:lvl w:ilvl="0" w:tplc="04090001">
      <w:start w:val="1"/>
      <w:numFmt w:val="bullet"/>
      <w:lvlText w:val=""/>
      <w:lvlJc w:val="left"/>
      <w:pPr>
        <w:ind w:left="720" w:hanging="360"/>
      </w:pPr>
      <w:rPr>
        <w:rFonts w:ascii="Symbol" w:hAnsi="Symbol" w:hint="default"/>
      </w:rPr>
    </w:lvl>
    <w:lvl w:ilvl="1" w:tplc="495E0E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353488">
    <w:abstractNumId w:val="25"/>
  </w:num>
  <w:num w:numId="2" w16cid:durableId="2001352073">
    <w:abstractNumId w:val="29"/>
  </w:num>
  <w:num w:numId="3" w16cid:durableId="139913669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63554">
    <w:abstractNumId w:val="12"/>
  </w:num>
  <w:num w:numId="5" w16cid:durableId="934246101">
    <w:abstractNumId w:val="17"/>
  </w:num>
  <w:num w:numId="6" w16cid:durableId="1142817798">
    <w:abstractNumId w:val="4"/>
  </w:num>
  <w:num w:numId="7" w16cid:durableId="703485403">
    <w:abstractNumId w:val="6"/>
  </w:num>
  <w:num w:numId="8" w16cid:durableId="491918576">
    <w:abstractNumId w:val="8"/>
  </w:num>
  <w:num w:numId="9" w16cid:durableId="2105151662">
    <w:abstractNumId w:val="22"/>
  </w:num>
  <w:num w:numId="10" w16cid:durableId="626666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2042591178">
    <w:abstractNumId w:val="27"/>
  </w:num>
  <w:num w:numId="12" w16cid:durableId="1751003403">
    <w:abstractNumId w:val="13"/>
  </w:num>
  <w:num w:numId="13" w16cid:durableId="358821543">
    <w:abstractNumId w:val="16"/>
  </w:num>
  <w:num w:numId="14" w16cid:durableId="546916645">
    <w:abstractNumId w:val="21"/>
  </w:num>
  <w:num w:numId="15" w16cid:durableId="21709204">
    <w:abstractNumId w:val="19"/>
  </w:num>
  <w:num w:numId="16" w16cid:durableId="619381685">
    <w:abstractNumId w:val="15"/>
  </w:num>
  <w:num w:numId="17" w16cid:durableId="1266577214">
    <w:abstractNumId w:val="20"/>
  </w:num>
  <w:num w:numId="18" w16cid:durableId="425662748">
    <w:abstractNumId w:val="5"/>
  </w:num>
  <w:num w:numId="19" w16cid:durableId="146095750">
    <w:abstractNumId w:val="23"/>
  </w:num>
  <w:num w:numId="20" w16cid:durableId="1665233809">
    <w:abstractNumId w:val="3"/>
  </w:num>
  <w:num w:numId="21" w16cid:durableId="1659066930">
    <w:abstractNumId w:val="31"/>
  </w:num>
  <w:num w:numId="22" w16cid:durableId="760414706">
    <w:abstractNumId w:val="9"/>
  </w:num>
  <w:num w:numId="23" w16cid:durableId="1706564941">
    <w:abstractNumId w:val="14"/>
  </w:num>
  <w:num w:numId="24" w16cid:durableId="2121491914">
    <w:abstractNumId w:val="30"/>
  </w:num>
  <w:num w:numId="25" w16cid:durableId="1219169518">
    <w:abstractNumId w:val="10"/>
  </w:num>
  <w:num w:numId="26" w16cid:durableId="381633628">
    <w:abstractNumId w:val="24"/>
  </w:num>
  <w:num w:numId="27" w16cid:durableId="587693617">
    <w:abstractNumId w:val="7"/>
  </w:num>
  <w:num w:numId="28" w16cid:durableId="45497031">
    <w:abstractNumId w:val="18"/>
  </w:num>
  <w:num w:numId="29" w16cid:durableId="1752580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6634594">
    <w:abstractNumId w:val="26"/>
  </w:num>
  <w:num w:numId="31" w16cid:durableId="1129737450">
    <w:abstractNumId w:val="2"/>
  </w:num>
  <w:num w:numId="32" w16cid:durableId="1924873851">
    <w:abstractNumId w:val="28"/>
  </w:num>
  <w:num w:numId="33" w16cid:durableId="29865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21"/>
    <w:rsid w:val="00002542"/>
    <w:rsid w:val="00033186"/>
    <w:rsid w:val="00071F95"/>
    <w:rsid w:val="000839F7"/>
    <w:rsid w:val="000959AB"/>
    <w:rsid w:val="000A3C6E"/>
    <w:rsid w:val="000B19BD"/>
    <w:rsid w:val="000C7D05"/>
    <w:rsid w:val="000E5CD1"/>
    <w:rsid w:val="000F3081"/>
    <w:rsid w:val="00112787"/>
    <w:rsid w:val="001145C2"/>
    <w:rsid w:val="00123BF1"/>
    <w:rsid w:val="00130678"/>
    <w:rsid w:val="00130BC8"/>
    <w:rsid w:val="001332F8"/>
    <w:rsid w:val="00135231"/>
    <w:rsid w:val="001378C9"/>
    <w:rsid w:val="00140784"/>
    <w:rsid w:val="00140DCD"/>
    <w:rsid w:val="0014698E"/>
    <w:rsid w:val="001478B3"/>
    <w:rsid w:val="00156DA4"/>
    <w:rsid w:val="00180EFC"/>
    <w:rsid w:val="001853C8"/>
    <w:rsid w:val="00190BF1"/>
    <w:rsid w:val="001A0539"/>
    <w:rsid w:val="001A26E6"/>
    <w:rsid w:val="001A2A93"/>
    <w:rsid w:val="001A7E8C"/>
    <w:rsid w:val="001B418D"/>
    <w:rsid w:val="001D2AF0"/>
    <w:rsid w:val="001E0032"/>
    <w:rsid w:val="00204E63"/>
    <w:rsid w:val="002145C9"/>
    <w:rsid w:val="00217299"/>
    <w:rsid w:val="002212FB"/>
    <w:rsid w:val="00231CD6"/>
    <w:rsid w:val="0024621E"/>
    <w:rsid w:val="00254444"/>
    <w:rsid w:val="00255631"/>
    <w:rsid w:val="00273703"/>
    <w:rsid w:val="00283116"/>
    <w:rsid w:val="00285D60"/>
    <w:rsid w:val="002874F7"/>
    <w:rsid w:val="0029674D"/>
    <w:rsid w:val="00297402"/>
    <w:rsid w:val="002A0CF2"/>
    <w:rsid w:val="002A17F1"/>
    <w:rsid w:val="002A1F91"/>
    <w:rsid w:val="002B4550"/>
    <w:rsid w:val="002B4BAC"/>
    <w:rsid w:val="002C13FE"/>
    <w:rsid w:val="002C558D"/>
    <w:rsid w:val="002E38D8"/>
    <w:rsid w:val="0030493F"/>
    <w:rsid w:val="0030622E"/>
    <w:rsid w:val="00327BAB"/>
    <w:rsid w:val="00334F93"/>
    <w:rsid w:val="003379BC"/>
    <w:rsid w:val="00340C93"/>
    <w:rsid w:val="00341A5D"/>
    <w:rsid w:val="003521A6"/>
    <w:rsid w:val="003662E4"/>
    <w:rsid w:val="00367292"/>
    <w:rsid w:val="00371FE9"/>
    <w:rsid w:val="00373399"/>
    <w:rsid w:val="00373F1F"/>
    <w:rsid w:val="0037421F"/>
    <w:rsid w:val="00394D33"/>
    <w:rsid w:val="00397CB0"/>
    <w:rsid w:val="003B38DF"/>
    <w:rsid w:val="003C4B26"/>
    <w:rsid w:val="003C6921"/>
    <w:rsid w:val="003D7977"/>
    <w:rsid w:val="003F2625"/>
    <w:rsid w:val="003F49DC"/>
    <w:rsid w:val="003F6597"/>
    <w:rsid w:val="00410C85"/>
    <w:rsid w:val="00417CC6"/>
    <w:rsid w:val="004236F6"/>
    <w:rsid w:val="0042743B"/>
    <w:rsid w:val="00442D2A"/>
    <w:rsid w:val="00465A21"/>
    <w:rsid w:val="00470259"/>
    <w:rsid w:val="00470A65"/>
    <w:rsid w:val="00484CEC"/>
    <w:rsid w:val="00486EA0"/>
    <w:rsid w:val="00492CAF"/>
    <w:rsid w:val="004A40AA"/>
    <w:rsid w:val="004C5DB2"/>
    <w:rsid w:val="004D58C3"/>
    <w:rsid w:val="004D79DD"/>
    <w:rsid w:val="004E1AF6"/>
    <w:rsid w:val="004E3BC2"/>
    <w:rsid w:val="004E6CAB"/>
    <w:rsid w:val="0050149F"/>
    <w:rsid w:val="0050187B"/>
    <w:rsid w:val="005237AF"/>
    <w:rsid w:val="00534D86"/>
    <w:rsid w:val="00535F5D"/>
    <w:rsid w:val="00541CB9"/>
    <w:rsid w:val="005607A9"/>
    <w:rsid w:val="005643E5"/>
    <w:rsid w:val="005645F8"/>
    <w:rsid w:val="005669A0"/>
    <w:rsid w:val="005719CF"/>
    <w:rsid w:val="005808C9"/>
    <w:rsid w:val="005810EE"/>
    <w:rsid w:val="005853EC"/>
    <w:rsid w:val="00595F2F"/>
    <w:rsid w:val="005B65C4"/>
    <w:rsid w:val="005C2CB7"/>
    <w:rsid w:val="005C3122"/>
    <w:rsid w:val="005D5AC8"/>
    <w:rsid w:val="005F6D88"/>
    <w:rsid w:val="005F70F7"/>
    <w:rsid w:val="00606C9D"/>
    <w:rsid w:val="00617451"/>
    <w:rsid w:val="00630B55"/>
    <w:rsid w:val="00660C61"/>
    <w:rsid w:val="00662D37"/>
    <w:rsid w:val="0069116F"/>
    <w:rsid w:val="00696904"/>
    <w:rsid w:val="00696EC1"/>
    <w:rsid w:val="006A2D84"/>
    <w:rsid w:val="006A45F2"/>
    <w:rsid w:val="006B187E"/>
    <w:rsid w:val="006C7742"/>
    <w:rsid w:val="006D4473"/>
    <w:rsid w:val="006D76C8"/>
    <w:rsid w:val="006E60E6"/>
    <w:rsid w:val="006E779D"/>
    <w:rsid w:val="006F3B7E"/>
    <w:rsid w:val="00700ECC"/>
    <w:rsid w:val="00706DCD"/>
    <w:rsid w:val="00712AED"/>
    <w:rsid w:val="00727289"/>
    <w:rsid w:val="00737509"/>
    <w:rsid w:val="00746F04"/>
    <w:rsid w:val="00757502"/>
    <w:rsid w:val="00763078"/>
    <w:rsid w:val="007658A2"/>
    <w:rsid w:val="00772AD3"/>
    <w:rsid w:val="0077312C"/>
    <w:rsid w:val="00783B19"/>
    <w:rsid w:val="0079095A"/>
    <w:rsid w:val="007959D4"/>
    <w:rsid w:val="00796544"/>
    <w:rsid w:val="007B295A"/>
    <w:rsid w:val="007B3F87"/>
    <w:rsid w:val="007B66CC"/>
    <w:rsid w:val="007D7C7A"/>
    <w:rsid w:val="007F3BAA"/>
    <w:rsid w:val="007F777A"/>
    <w:rsid w:val="00805B20"/>
    <w:rsid w:val="008102CA"/>
    <w:rsid w:val="00815C38"/>
    <w:rsid w:val="00816010"/>
    <w:rsid w:val="00835945"/>
    <w:rsid w:val="008666E5"/>
    <w:rsid w:val="00867834"/>
    <w:rsid w:val="008775BD"/>
    <w:rsid w:val="00890052"/>
    <w:rsid w:val="00891EEA"/>
    <w:rsid w:val="00897897"/>
    <w:rsid w:val="008A14D8"/>
    <w:rsid w:val="008A6E6D"/>
    <w:rsid w:val="008D2A8A"/>
    <w:rsid w:val="008E516C"/>
    <w:rsid w:val="008F1118"/>
    <w:rsid w:val="008F6DB9"/>
    <w:rsid w:val="00900B66"/>
    <w:rsid w:val="0090270D"/>
    <w:rsid w:val="00912541"/>
    <w:rsid w:val="0093384F"/>
    <w:rsid w:val="0093564E"/>
    <w:rsid w:val="00937B29"/>
    <w:rsid w:val="00947E35"/>
    <w:rsid w:val="009509AB"/>
    <w:rsid w:val="0095247E"/>
    <w:rsid w:val="009526FC"/>
    <w:rsid w:val="00973D1F"/>
    <w:rsid w:val="00995E8C"/>
    <w:rsid w:val="009976B8"/>
    <w:rsid w:val="009B2699"/>
    <w:rsid w:val="009B39F9"/>
    <w:rsid w:val="009B4514"/>
    <w:rsid w:val="009C4506"/>
    <w:rsid w:val="009C4870"/>
    <w:rsid w:val="009E4877"/>
    <w:rsid w:val="009E5CA7"/>
    <w:rsid w:val="009F2FC8"/>
    <w:rsid w:val="00A1753C"/>
    <w:rsid w:val="00A255E7"/>
    <w:rsid w:val="00A512A8"/>
    <w:rsid w:val="00A6602D"/>
    <w:rsid w:val="00A70176"/>
    <w:rsid w:val="00A83CE9"/>
    <w:rsid w:val="00AA1129"/>
    <w:rsid w:val="00AA2D7E"/>
    <w:rsid w:val="00AA49C6"/>
    <w:rsid w:val="00AD2B40"/>
    <w:rsid w:val="00AD6AB8"/>
    <w:rsid w:val="00AD6E05"/>
    <w:rsid w:val="00AE38A8"/>
    <w:rsid w:val="00B01DF0"/>
    <w:rsid w:val="00B023CE"/>
    <w:rsid w:val="00B03C70"/>
    <w:rsid w:val="00B101D5"/>
    <w:rsid w:val="00B1085A"/>
    <w:rsid w:val="00B22C15"/>
    <w:rsid w:val="00B2484F"/>
    <w:rsid w:val="00B40155"/>
    <w:rsid w:val="00B40B3E"/>
    <w:rsid w:val="00B40D53"/>
    <w:rsid w:val="00B47441"/>
    <w:rsid w:val="00B57DAF"/>
    <w:rsid w:val="00B76DA5"/>
    <w:rsid w:val="00BA1CC2"/>
    <w:rsid w:val="00BB11BC"/>
    <w:rsid w:val="00BB3E96"/>
    <w:rsid w:val="00BD1F9A"/>
    <w:rsid w:val="00BD3F2D"/>
    <w:rsid w:val="00BE35DA"/>
    <w:rsid w:val="00BE7CD3"/>
    <w:rsid w:val="00BF7547"/>
    <w:rsid w:val="00BF7DE5"/>
    <w:rsid w:val="00C002CF"/>
    <w:rsid w:val="00C10BC7"/>
    <w:rsid w:val="00C440F9"/>
    <w:rsid w:val="00C7107F"/>
    <w:rsid w:val="00CA00C1"/>
    <w:rsid w:val="00CA7BAF"/>
    <w:rsid w:val="00CD7775"/>
    <w:rsid w:val="00CE3B8E"/>
    <w:rsid w:val="00D0265C"/>
    <w:rsid w:val="00D07E2E"/>
    <w:rsid w:val="00D25A0A"/>
    <w:rsid w:val="00D33169"/>
    <w:rsid w:val="00D3392F"/>
    <w:rsid w:val="00D35CA8"/>
    <w:rsid w:val="00D539A9"/>
    <w:rsid w:val="00D62813"/>
    <w:rsid w:val="00D82EB4"/>
    <w:rsid w:val="00D831AB"/>
    <w:rsid w:val="00D91DC4"/>
    <w:rsid w:val="00DA71C8"/>
    <w:rsid w:val="00DB03C6"/>
    <w:rsid w:val="00DB0F08"/>
    <w:rsid w:val="00DC510B"/>
    <w:rsid w:val="00DC70B2"/>
    <w:rsid w:val="00DD374F"/>
    <w:rsid w:val="00DD3B59"/>
    <w:rsid w:val="00DD4782"/>
    <w:rsid w:val="00DF0A6B"/>
    <w:rsid w:val="00E05965"/>
    <w:rsid w:val="00E24171"/>
    <w:rsid w:val="00E31254"/>
    <w:rsid w:val="00E32E39"/>
    <w:rsid w:val="00E36473"/>
    <w:rsid w:val="00E513DA"/>
    <w:rsid w:val="00E51B7B"/>
    <w:rsid w:val="00E57B7B"/>
    <w:rsid w:val="00E71FDA"/>
    <w:rsid w:val="00E82CB3"/>
    <w:rsid w:val="00E83DE6"/>
    <w:rsid w:val="00EA34A6"/>
    <w:rsid w:val="00EA4142"/>
    <w:rsid w:val="00EB20C7"/>
    <w:rsid w:val="00EB3CEE"/>
    <w:rsid w:val="00EC44A5"/>
    <w:rsid w:val="00ED6A87"/>
    <w:rsid w:val="00EE3A0E"/>
    <w:rsid w:val="00EE5F13"/>
    <w:rsid w:val="00EE5F9D"/>
    <w:rsid w:val="00EF5D15"/>
    <w:rsid w:val="00EF7E02"/>
    <w:rsid w:val="00F15809"/>
    <w:rsid w:val="00F179E5"/>
    <w:rsid w:val="00F23440"/>
    <w:rsid w:val="00F23D40"/>
    <w:rsid w:val="00F308CF"/>
    <w:rsid w:val="00F3196A"/>
    <w:rsid w:val="00F354B9"/>
    <w:rsid w:val="00F509DA"/>
    <w:rsid w:val="00F6136E"/>
    <w:rsid w:val="00F67914"/>
    <w:rsid w:val="00F80F89"/>
    <w:rsid w:val="00F835F6"/>
    <w:rsid w:val="00F865BE"/>
    <w:rsid w:val="00F92B70"/>
    <w:rsid w:val="00F93A1E"/>
    <w:rsid w:val="00FA095B"/>
    <w:rsid w:val="00FA4380"/>
    <w:rsid w:val="00FB3CAF"/>
    <w:rsid w:val="00FB5CF5"/>
    <w:rsid w:val="00FC0136"/>
    <w:rsid w:val="00FE2E81"/>
    <w:rsid w:val="00FF1E10"/>
    <w:rsid w:val="0253330E"/>
    <w:rsid w:val="05ED5965"/>
    <w:rsid w:val="11C1496A"/>
    <w:rsid w:val="1343F16E"/>
    <w:rsid w:val="14781B16"/>
    <w:rsid w:val="24FDD31F"/>
    <w:rsid w:val="3504880D"/>
    <w:rsid w:val="3872ECA4"/>
    <w:rsid w:val="47A085AA"/>
    <w:rsid w:val="4F926F32"/>
    <w:rsid w:val="512E3F93"/>
    <w:rsid w:val="56E69D11"/>
    <w:rsid w:val="6D82C67D"/>
    <w:rsid w:val="7BE3F189"/>
    <w:rsid w:val="7C5D6CA5"/>
    <w:rsid w:val="7C93E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467B"/>
  <w15:docId w15:val="{835F2207-59B5-4326-9F00-B4427FCF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831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0622E"/>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12C"/>
    <w:pPr>
      <w:spacing w:after="0" w:line="240" w:lineRule="auto"/>
    </w:pPr>
  </w:style>
  <w:style w:type="paragraph" w:styleId="NormalWeb">
    <w:name w:val="Normal (Web)"/>
    <w:basedOn w:val="Normal"/>
    <w:uiPriority w:val="99"/>
    <w:unhideWhenUsed/>
    <w:rsid w:val="005C2CB7"/>
    <w:pPr>
      <w:widowControl/>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9526FC"/>
    <w:rPr>
      <w:color w:val="0000FF"/>
      <w:u w:val="single"/>
    </w:rPr>
  </w:style>
  <w:style w:type="character" w:styleId="Strong">
    <w:name w:val="Strong"/>
    <w:uiPriority w:val="22"/>
    <w:qFormat/>
    <w:rsid w:val="009526FC"/>
    <w:rPr>
      <w:b/>
      <w:bCs/>
    </w:rPr>
  </w:style>
  <w:style w:type="paragraph" w:styleId="Header">
    <w:name w:val="header"/>
    <w:basedOn w:val="Normal"/>
    <w:link w:val="HeaderChar"/>
    <w:uiPriority w:val="99"/>
    <w:unhideWhenUsed/>
    <w:rsid w:val="0077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D3"/>
  </w:style>
  <w:style w:type="paragraph" w:styleId="Footer">
    <w:name w:val="footer"/>
    <w:basedOn w:val="Normal"/>
    <w:link w:val="FooterChar"/>
    <w:uiPriority w:val="99"/>
    <w:unhideWhenUsed/>
    <w:rsid w:val="0077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D3"/>
  </w:style>
  <w:style w:type="paragraph" w:styleId="BalloonText">
    <w:name w:val="Balloon Text"/>
    <w:basedOn w:val="Normal"/>
    <w:link w:val="BalloonTextChar"/>
    <w:uiPriority w:val="99"/>
    <w:semiHidden/>
    <w:unhideWhenUsed/>
    <w:rsid w:val="00952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7E"/>
    <w:rPr>
      <w:rFonts w:ascii="Tahoma" w:hAnsi="Tahoma" w:cs="Tahoma"/>
      <w:sz w:val="16"/>
      <w:szCs w:val="16"/>
    </w:rPr>
  </w:style>
  <w:style w:type="paragraph" w:styleId="ListParagraph">
    <w:name w:val="List Paragraph"/>
    <w:basedOn w:val="Normal"/>
    <w:uiPriority w:val="34"/>
    <w:qFormat/>
    <w:rsid w:val="00900B66"/>
    <w:pPr>
      <w:spacing w:after="0" w:line="240" w:lineRule="auto"/>
    </w:pPr>
  </w:style>
  <w:style w:type="character" w:styleId="CommentReference">
    <w:name w:val="annotation reference"/>
    <w:basedOn w:val="DefaultParagraphFont"/>
    <w:uiPriority w:val="99"/>
    <w:semiHidden/>
    <w:rsid w:val="00394D33"/>
    <w:rPr>
      <w:rFonts w:cs="Times New Roman"/>
      <w:sz w:val="16"/>
      <w:szCs w:val="16"/>
    </w:rPr>
  </w:style>
  <w:style w:type="paragraph" w:styleId="CommentText">
    <w:name w:val="annotation text"/>
    <w:basedOn w:val="Normal"/>
    <w:link w:val="CommentTextChar1"/>
    <w:uiPriority w:val="99"/>
    <w:semiHidden/>
    <w:rsid w:val="00394D33"/>
    <w:pPr>
      <w:overflowPunct w:val="0"/>
      <w:autoSpaceDE w:val="0"/>
      <w:autoSpaceDN w:val="0"/>
      <w:adjustRightInd w:val="0"/>
      <w:spacing w:after="0" w:line="240" w:lineRule="auto"/>
      <w:textAlignment w:val="baseline"/>
    </w:pPr>
    <w:rPr>
      <w:rFonts w:eastAsia="Times New Roman" w:cs="Book Antiqua"/>
      <w:sz w:val="20"/>
      <w:szCs w:val="20"/>
    </w:rPr>
  </w:style>
  <w:style w:type="character" w:customStyle="1" w:styleId="CommentTextChar">
    <w:name w:val="Comment Text Char"/>
    <w:basedOn w:val="DefaultParagraphFont"/>
    <w:uiPriority w:val="99"/>
    <w:semiHidden/>
    <w:rsid w:val="00394D33"/>
    <w:rPr>
      <w:sz w:val="20"/>
      <w:szCs w:val="20"/>
    </w:rPr>
  </w:style>
  <w:style w:type="character" w:customStyle="1" w:styleId="CommentTextChar1">
    <w:name w:val="Comment Text Char1"/>
    <w:basedOn w:val="DefaultParagraphFont"/>
    <w:link w:val="CommentText"/>
    <w:uiPriority w:val="99"/>
    <w:semiHidden/>
    <w:rsid w:val="00394D33"/>
    <w:rPr>
      <w:rFonts w:eastAsia="Times New Roman" w:cs="Book Antiqua"/>
      <w:sz w:val="20"/>
      <w:szCs w:val="20"/>
    </w:rPr>
  </w:style>
  <w:style w:type="paragraph" w:customStyle="1" w:styleId="Default">
    <w:name w:val="Default"/>
    <w:rsid w:val="00815C38"/>
    <w:pPr>
      <w:widowControl/>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5F6D88"/>
    <w:pPr>
      <w:spacing w:after="0" w:line="240" w:lineRule="auto"/>
      <w:ind w:left="56"/>
    </w:pPr>
    <w:rPr>
      <w:rFonts w:ascii="Calibri" w:eastAsia="Calibri" w:hAnsi="Calibri"/>
      <w:sz w:val="20"/>
      <w:szCs w:val="20"/>
    </w:rPr>
  </w:style>
  <w:style w:type="character" w:customStyle="1" w:styleId="BodyTextChar">
    <w:name w:val="Body Text Char"/>
    <w:basedOn w:val="DefaultParagraphFont"/>
    <w:link w:val="BodyText"/>
    <w:uiPriority w:val="1"/>
    <w:rsid w:val="005F6D8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373399"/>
    <w:pPr>
      <w:overflowPunct/>
      <w:autoSpaceDE/>
      <w:autoSpaceDN/>
      <w:adjustRightInd/>
      <w:spacing w:after="200"/>
      <w:textAlignment w:val="auto"/>
    </w:pPr>
    <w:rPr>
      <w:rFonts w:eastAsiaTheme="minorHAnsi" w:cstheme="minorBidi"/>
      <w:b/>
      <w:bCs/>
    </w:rPr>
  </w:style>
  <w:style w:type="character" w:customStyle="1" w:styleId="CommentSubjectChar">
    <w:name w:val="Comment Subject Char"/>
    <w:basedOn w:val="CommentTextChar1"/>
    <w:link w:val="CommentSubject"/>
    <w:uiPriority w:val="99"/>
    <w:semiHidden/>
    <w:rsid w:val="00373399"/>
    <w:rPr>
      <w:rFonts w:eastAsia="Times New Roman" w:cs="Book Antiqua"/>
      <w:b/>
      <w:bCs/>
      <w:sz w:val="20"/>
      <w:szCs w:val="20"/>
    </w:rPr>
  </w:style>
  <w:style w:type="character" w:styleId="UnresolvedMention">
    <w:name w:val="Unresolved Mention"/>
    <w:basedOn w:val="DefaultParagraphFont"/>
    <w:uiPriority w:val="99"/>
    <w:semiHidden/>
    <w:unhideWhenUsed/>
    <w:rsid w:val="002A17F1"/>
    <w:rPr>
      <w:color w:val="605E5C"/>
      <w:shd w:val="clear" w:color="auto" w:fill="E1DFDD"/>
    </w:rPr>
  </w:style>
  <w:style w:type="character" w:styleId="FollowedHyperlink">
    <w:name w:val="FollowedHyperlink"/>
    <w:basedOn w:val="DefaultParagraphFont"/>
    <w:uiPriority w:val="99"/>
    <w:semiHidden/>
    <w:unhideWhenUsed/>
    <w:rsid w:val="00973D1F"/>
    <w:rPr>
      <w:color w:val="800080" w:themeColor="followedHyperlink"/>
      <w:u w:val="single"/>
    </w:rPr>
  </w:style>
  <w:style w:type="character" w:customStyle="1" w:styleId="Heading3Char">
    <w:name w:val="Heading 3 Char"/>
    <w:basedOn w:val="DefaultParagraphFont"/>
    <w:link w:val="Heading3"/>
    <w:uiPriority w:val="9"/>
    <w:rsid w:val="0030622E"/>
    <w:rPr>
      <w:rFonts w:ascii="Times New Roman" w:eastAsia="Times New Roman" w:hAnsi="Times New Roman" w:cs="Times New Roman"/>
      <w:b/>
      <w:bCs/>
      <w:sz w:val="27"/>
      <w:szCs w:val="27"/>
    </w:rPr>
  </w:style>
  <w:style w:type="table" w:styleId="TableGrid">
    <w:name w:val="Table Grid"/>
    <w:basedOn w:val="TableNormal"/>
    <w:uiPriority w:val="59"/>
    <w:rsid w:val="00F1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31AB"/>
    <w:rPr>
      <w:rFonts w:asciiTheme="majorHAnsi" w:eastAsiaTheme="majorEastAsia" w:hAnsiTheme="majorHAnsi" w:cstheme="majorBidi"/>
      <w:color w:val="365F91" w:themeColor="accent1" w:themeShade="BF"/>
      <w:sz w:val="32"/>
      <w:szCs w:val="32"/>
    </w:rPr>
  </w:style>
  <w:style w:type="paragraph" w:styleId="ListNumber">
    <w:name w:val="List Number"/>
    <w:uiPriority w:val="99"/>
    <w:semiHidden/>
    <w:unhideWhenUsed/>
    <w:rsid w:val="00816010"/>
    <w:pPr>
      <w:widowControl/>
      <w:numPr>
        <w:numId w:val="29"/>
      </w:numPr>
      <w:tabs>
        <w:tab w:val="left" w:pos="360"/>
      </w:tabs>
      <w:spacing w:before="40" w:after="40" w:line="240" w:lineRule="auto"/>
    </w:pPr>
    <w:rPr>
      <w:rFonts w:eastAsia="Times New Roman" w:cstheme="minorHAnsi"/>
    </w:rPr>
  </w:style>
  <w:style w:type="paragraph" w:styleId="ListNumber2">
    <w:name w:val="List Number 2"/>
    <w:basedOn w:val="ListNumber"/>
    <w:uiPriority w:val="99"/>
    <w:semiHidden/>
    <w:unhideWhenUsed/>
    <w:rsid w:val="00816010"/>
    <w:pPr>
      <w:numPr>
        <w:ilvl w:val="1"/>
      </w:numPr>
    </w:pPr>
    <w:rPr>
      <w:rFonts w:eastAsiaTheme="minorHAnsi"/>
    </w:rPr>
  </w:style>
  <w:style w:type="paragraph" w:styleId="ListNumber3">
    <w:name w:val="List Number 3"/>
    <w:basedOn w:val="ListNumber2"/>
    <w:uiPriority w:val="99"/>
    <w:unhideWhenUsed/>
    <w:rsid w:val="00816010"/>
    <w:pPr>
      <w:numPr>
        <w:ilvl w:val="2"/>
      </w:numPr>
    </w:pPr>
  </w:style>
  <w:style w:type="paragraph" w:styleId="ListNumber4">
    <w:name w:val="List Number 4"/>
    <w:basedOn w:val="ListNumber3"/>
    <w:uiPriority w:val="99"/>
    <w:semiHidden/>
    <w:unhideWhenUsed/>
    <w:rsid w:val="00816010"/>
    <w:pPr>
      <w:numPr>
        <w:ilvl w:val="3"/>
      </w:numPr>
    </w:pPr>
  </w:style>
  <w:style w:type="paragraph" w:styleId="Revision">
    <w:name w:val="Revision"/>
    <w:hidden/>
    <w:uiPriority w:val="99"/>
    <w:semiHidden/>
    <w:rsid w:val="008F111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3911">
      <w:bodyDiv w:val="1"/>
      <w:marLeft w:val="0"/>
      <w:marRight w:val="0"/>
      <w:marTop w:val="0"/>
      <w:marBottom w:val="0"/>
      <w:divBdr>
        <w:top w:val="none" w:sz="0" w:space="0" w:color="auto"/>
        <w:left w:val="none" w:sz="0" w:space="0" w:color="auto"/>
        <w:bottom w:val="none" w:sz="0" w:space="0" w:color="auto"/>
        <w:right w:val="none" w:sz="0" w:space="0" w:color="auto"/>
      </w:divBdr>
    </w:div>
    <w:div w:id="211817045">
      <w:bodyDiv w:val="1"/>
      <w:marLeft w:val="0"/>
      <w:marRight w:val="0"/>
      <w:marTop w:val="0"/>
      <w:marBottom w:val="0"/>
      <w:divBdr>
        <w:top w:val="none" w:sz="0" w:space="0" w:color="auto"/>
        <w:left w:val="none" w:sz="0" w:space="0" w:color="auto"/>
        <w:bottom w:val="none" w:sz="0" w:space="0" w:color="auto"/>
        <w:right w:val="none" w:sz="0" w:space="0" w:color="auto"/>
      </w:divBdr>
    </w:div>
    <w:div w:id="468985678">
      <w:bodyDiv w:val="1"/>
      <w:marLeft w:val="0"/>
      <w:marRight w:val="0"/>
      <w:marTop w:val="0"/>
      <w:marBottom w:val="0"/>
      <w:divBdr>
        <w:top w:val="none" w:sz="0" w:space="0" w:color="auto"/>
        <w:left w:val="none" w:sz="0" w:space="0" w:color="auto"/>
        <w:bottom w:val="none" w:sz="0" w:space="0" w:color="auto"/>
        <w:right w:val="none" w:sz="0" w:space="0" w:color="auto"/>
      </w:divBdr>
    </w:div>
    <w:div w:id="516820248">
      <w:bodyDiv w:val="1"/>
      <w:marLeft w:val="0"/>
      <w:marRight w:val="0"/>
      <w:marTop w:val="0"/>
      <w:marBottom w:val="0"/>
      <w:divBdr>
        <w:top w:val="none" w:sz="0" w:space="0" w:color="auto"/>
        <w:left w:val="none" w:sz="0" w:space="0" w:color="auto"/>
        <w:bottom w:val="none" w:sz="0" w:space="0" w:color="auto"/>
        <w:right w:val="none" w:sz="0" w:space="0" w:color="auto"/>
      </w:divBdr>
    </w:div>
    <w:div w:id="561139182">
      <w:bodyDiv w:val="1"/>
      <w:marLeft w:val="0"/>
      <w:marRight w:val="0"/>
      <w:marTop w:val="0"/>
      <w:marBottom w:val="0"/>
      <w:divBdr>
        <w:top w:val="none" w:sz="0" w:space="0" w:color="auto"/>
        <w:left w:val="none" w:sz="0" w:space="0" w:color="auto"/>
        <w:bottom w:val="none" w:sz="0" w:space="0" w:color="auto"/>
        <w:right w:val="none" w:sz="0" w:space="0" w:color="auto"/>
      </w:divBdr>
    </w:div>
    <w:div w:id="662319983">
      <w:bodyDiv w:val="1"/>
      <w:marLeft w:val="0"/>
      <w:marRight w:val="0"/>
      <w:marTop w:val="0"/>
      <w:marBottom w:val="0"/>
      <w:divBdr>
        <w:top w:val="none" w:sz="0" w:space="0" w:color="auto"/>
        <w:left w:val="none" w:sz="0" w:space="0" w:color="auto"/>
        <w:bottom w:val="none" w:sz="0" w:space="0" w:color="auto"/>
        <w:right w:val="none" w:sz="0" w:space="0" w:color="auto"/>
      </w:divBdr>
    </w:div>
    <w:div w:id="702248386">
      <w:bodyDiv w:val="1"/>
      <w:marLeft w:val="0"/>
      <w:marRight w:val="0"/>
      <w:marTop w:val="0"/>
      <w:marBottom w:val="0"/>
      <w:divBdr>
        <w:top w:val="none" w:sz="0" w:space="0" w:color="auto"/>
        <w:left w:val="none" w:sz="0" w:space="0" w:color="auto"/>
        <w:bottom w:val="none" w:sz="0" w:space="0" w:color="auto"/>
        <w:right w:val="none" w:sz="0" w:space="0" w:color="auto"/>
      </w:divBdr>
    </w:div>
    <w:div w:id="783888030">
      <w:bodyDiv w:val="1"/>
      <w:marLeft w:val="0"/>
      <w:marRight w:val="0"/>
      <w:marTop w:val="0"/>
      <w:marBottom w:val="0"/>
      <w:divBdr>
        <w:top w:val="none" w:sz="0" w:space="0" w:color="auto"/>
        <w:left w:val="none" w:sz="0" w:space="0" w:color="auto"/>
        <w:bottom w:val="none" w:sz="0" w:space="0" w:color="auto"/>
        <w:right w:val="none" w:sz="0" w:space="0" w:color="auto"/>
      </w:divBdr>
    </w:div>
    <w:div w:id="1154293179">
      <w:bodyDiv w:val="1"/>
      <w:marLeft w:val="0"/>
      <w:marRight w:val="0"/>
      <w:marTop w:val="0"/>
      <w:marBottom w:val="0"/>
      <w:divBdr>
        <w:top w:val="none" w:sz="0" w:space="0" w:color="auto"/>
        <w:left w:val="none" w:sz="0" w:space="0" w:color="auto"/>
        <w:bottom w:val="none" w:sz="0" w:space="0" w:color="auto"/>
        <w:right w:val="none" w:sz="0" w:space="0" w:color="auto"/>
      </w:divBdr>
    </w:div>
    <w:div w:id="1546021078">
      <w:bodyDiv w:val="1"/>
      <w:marLeft w:val="0"/>
      <w:marRight w:val="0"/>
      <w:marTop w:val="0"/>
      <w:marBottom w:val="0"/>
      <w:divBdr>
        <w:top w:val="none" w:sz="0" w:space="0" w:color="auto"/>
        <w:left w:val="none" w:sz="0" w:space="0" w:color="auto"/>
        <w:bottom w:val="none" w:sz="0" w:space="0" w:color="auto"/>
        <w:right w:val="none" w:sz="0" w:space="0" w:color="auto"/>
      </w:divBdr>
    </w:div>
    <w:div w:id="1673994451">
      <w:bodyDiv w:val="1"/>
      <w:marLeft w:val="0"/>
      <w:marRight w:val="0"/>
      <w:marTop w:val="0"/>
      <w:marBottom w:val="0"/>
      <w:divBdr>
        <w:top w:val="none" w:sz="0" w:space="0" w:color="auto"/>
        <w:left w:val="none" w:sz="0" w:space="0" w:color="auto"/>
        <w:bottom w:val="none" w:sz="0" w:space="0" w:color="auto"/>
        <w:right w:val="none" w:sz="0" w:space="0" w:color="auto"/>
      </w:divBdr>
    </w:div>
    <w:div w:id="1756895986">
      <w:bodyDiv w:val="1"/>
      <w:marLeft w:val="0"/>
      <w:marRight w:val="0"/>
      <w:marTop w:val="0"/>
      <w:marBottom w:val="0"/>
      <w:divBdr>
        <w:top w:val="none" w:sz="0" w:space="0" w:color="auto"/>
        <w:left w:val="none" w:sz="0" w:space="0" w:color="auto"/>
        <w:bottom w:val="none" w:sz="0" w:space="0" w:color="auto"/>
        <w:right w:val="none" w:sz="0" w:space="0" w:color="auto"/>
      </w:divBdr>
    </w:div>
    <w:div w:id="1781685821">
      <w:bodyDiv w:val="1"/>
      <w:marLeft w:val="0"/>
      <w:marRight w:val="0"/>
      <w:marTop w:val="0"/>
      <w:marBottom w:val="0"/>
      <w:divBdr>
        <w:top w:val="none" w:sz="0" w:space="0" w:color="auto"/>
        <w:left w:val="none" w:sz="0" w:space="0" w:color="auto"/>
        <w:bottom w:val="none" w:sz="0" w:space="0" w:color="auto"/>
        <w:right w:val="none" w:sz="0" w:space="0" w:color="auto"/>
      </w:divBdr>
    </w:div>
    <w:div w:id="1819566573">
      <w:bodyDiv w:val="1"/>
      <w:marLeft w:val="0"/>
      <w:marRight w:val="0"/>
      <w:marTop w:val="0"/>
      <w:marBottom w:val="0"/>
      <w:divBdr>
        <w:top w:val="none" w:sz="0" w:space="0" w:color="auto"/>
        <w:left w:val="none" w:sz="0" w:space="0" w:color="auto"/>
        <w:bottom w:val="none" w:sz="0" w:space="0" w:color="auto"/>
        <w:right w:val="none" w:sz="0" w:space="0" w:color="auto"/>
      </w:divBdr>
    </w:div>
    <w:div w:id="1890417452">
      <w:bodyDiv w:val="1"/>
      <w:marLeft w:val="0"/>
      <w:marRight w:val="0"/>
      <w:marTop w:val="0"/>
      <w:marBottom w:val="0"/>
      <w:divBdr>
        <w:top w:val="none" w:sz="0" w:space="0" w:color="auto"/>
        <w:left w:val="none" w:sz="0" w:space="0" w:color="auto"/>
        <w:bottom w:val="none" w:sz="0" w:space="0" w:color="auto"/>
        <w:right w:val="none" w:sz="0" w:space="0" w:color="auto"/>
      </w:divBdr>
    </w:div>
    <w:div w:id="194183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classification-qualifications/general-schedule-qualification-standards/" TargetMode="External"/><Relationship Id="rId18" Type="http://schemas.openxmlformats.org/officeDocument/2006/relationships/hyperlink" Target="https://www.usajobs.gov/Help/how-to/application/agency/cont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opm.gov/policy-data-oversight/classification-qualifications/general-schedule-qualification-standards/" TargetMode="External"/><Relationship Id="rId17" Type="http://schemas.openxmlformats.org/officeDocument/2006/relationships/hyperlink" Target="https://www.opm.gov/policy-data-oversight/disability-employment/reasonable-accommod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oc.gov/federal/fed_employees/index.cfm" TargetMode="External"/><Relationship Id="rId20" Type="http://schemas.openxmlformats.org/officeDocument/2006/relationships/hyperlink" Target="mailto:CBERHumanCapital@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lected-amendments-fdc-act/21st-century-cures-ac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da.gov/about-fda/jobs-and-training-fda/ethic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BERHumanCapital@fda.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us/international/usnei/us/edlite-visitus-forrecog.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c17b12-aa6b-4a3b-931b-60b344486855">
      <Terms xmlns="http://schemas.microsoft.com/office/infopath/2007/PartnerControls"/>
    </lcf76f155ced4ddcb4097134ff3c332f>
    <TaxCatchAll xmlns="20867c8d-1cc9-4acd-a073-94634f6a764f" xsi:nil="true"/>
    <_ip_UnifiedCompliancePolicyUIAction xmlns="http://schemas.microsoft.com/sharepoint/v3" xsi:nil="true"/>
    <Web_request_id xmlns="2cc17b12-aa6b-4a3b-931b-60b344486855">1766</Web_request_id>
    <_ip_UnifiedCompliancePolicyProperties xmlns="http://schemas.microsoft.com/sharepoint/v3" xsi:nil="true"/>
    <WebRequestID xmlns="2cc17b12-aa6b-4a3b-931b-60b3444868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C6B01D59F43042BEC8D449F596C791" ma:contentTypeVersion="15" ma:contentTypeDescription="Create a new document." ma:contentTypeScope="" ma:versionID="9b9db17ceb9427c389bc5fce00d1d1c6">
  <xsd:schema xmlns:xsd="http://www.w3.org/2001/XMLSchema" xmlns:xs="http://www.w3.org/2001/XMLSchema" xmlns:p="http://schemas.microsoft.com/office/2006/metadata/properties" xmlns:ns1="http://schemas.microsoft.com/sharepoint/v3" xmlns:ns2="2cc17b12-aa6b-4a3b-931b-60b344486855" xmlns:ns3="20867c8d-1cc9-4acd-a073-94634f6a764f" targetNamespace="http://schemas.microsoft.com/office/2006/metadata/properties" ma:root="true" ma:fieldsID="92f7d735a5389ee548e31df9747275d9" ns1:_="" ns2:_="" ns3:_="">
    <xsd:import namespace="http://schemas.microsoft.com/sharepoint/v3"/>
    <xsd:import namespace="2cc17b12-aa6b-4a3b-931b-60b344486855"/>
    <xsd:import namespace="20867c8d-1cc9-4acd-a073-94634f6a764f"/>
    <xsd:element name="properties">
      <xsd:complexType>
        <xsd:sequence>
          <xsd:element name="documentManagement">
            <xsd:complexType>
              <xsd:all>
                <xsd:element ref="ns2:WebRequest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Web_request_id"/>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17b12-aa6b-4a3b-931b-60b344486855" elementFormDefault="qualified">
    <xsd:import namespace="http://schemas.microsoft.com/office/2006/documentManagement/types"/>
    <xsd:import namespace="http://schemas.microsoft.com/office/infopath/2007/PartnerControls"/>
    <xsd:element name="WebRequestID" ma:index="8" nillable="true" ma:displayName="Web Request ID" ma:decimals="0" ma:description="DEPRECATED. Use Web_request_id column." ma:format="Dropdown" ma:internalName="WebReques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Web_request_id" ma:index="16" ma:displayName="Web_request_id" ma:description="Web Request ID" ma:indexed="true" ma:list="{5c1dc921-6333-40cb-ba68-53cfb87a0b3a}" ma:internalName="Web_request_id" ma:showField="ID">
      <xsd:simpleType>
        <xsd:restriction base="dms:Lookup"/>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0830bf-769a-4757-9457-8d110cc9f44f}" ma:internalName="TaxCatchAll" ma:showField="CatchAllData" ma:web="2224a26e-c9ca-4967-a913-840e77e1e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5BE26-4313-4E44-AD2F-3B253AFB92B0}">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0867c8d-1cc9-4acd-a073-94634f6a764f"/>
    <ds:schemaRef ds:uri="2cc17b12-aa6b-4a3b-931b-60b344486855"/>
    <ds:schemaRef ds:uri="http://www.w3.org/XML/1998/namespace"/>
  </ds:schemaRefs>
</ds:datastoreItem>
</file>

<file path=customXml/itemProps2.xml><?xml version="1.0" encoding="utf-8"?>
<ds:datastoreItem xmlns:ds="http://schemas.openxmlformats.org/officeDocument/2006/customXml" ds:itemID="{D1700AE3-14AE-4F38-AD12-44F9B7801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7b12-aa6b-4a3b-931b-60b344486855"/>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57195-1FDB-47F5-B392-D94E2F28F09B}">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3CCF753-42D7-4044-AAC4-7A0BD5082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CURES Job Announcement_Division Director_OM_DMPA_7.14.23 copy.docx</vt:lpstr>
    </vt:vector>
  </TitlesOfParts>
  <Company>US FDA</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21 Division Director 07142023</dc:title>
  <dc:creator>Sauer, Robert *</dc:creator>
  <cp:lastModifiedBy>Alan Dudley</cp:lastModifiedBy>
  <cp:revision>2</cp:revision>
  <cp:lastPrinted>2016-01-21T13:40:00Z</cp:lastPrinted>
  <dcterms:created xsi:type="dcterms:W3CDTF">2023-07-14T17:54:00Z</dcterms:created>
  <dcterms:modified xsi:type="dcterms:W3CDTF">2023-07-14T17:54:00Z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2015-03-26T00:00:00Z</vt:filetime>
  </property>
  <property fmtid="{D5CDD505-2E9C-101B-9397-08002B2CF9AE}" pid="4" name="ContentTypeId">
    <vt:lpwstr>0x01010046C6B01D59F43042BEC8D449F596C791</vt:lpwstr>
  </property>
  <property fmtid="{D5CDD505-2E9C-101B-9397-08002B2CF9AE}" pid="5" name="_dlc_DocIdItemGuid">
    <vt:lpwstr>53838155-b629-44ce-84ed-4becca7c1749</vt:lpwstr>
  </property>
  <property fmtid="{D5CDD505-2E9C-101B-9397-08002B2CF9AE}" pid="6" name="MediaServiceImageTags">
    <vt:lpwstr/>
  </property>
</Properties>
</file>