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B5B57F" w14:textId="343D1756" w:rsidR="009A61C4" w:rsidRPr="009A61C4" w:rsidRDefault="00C036DD" w:rsidP="00B261D3">
      <w:pPr>
        <w:spacing w:after="0" w:line="240" w:lineRule="auto"/>
        <w:ind w:right="0" w:firstLine="0"/>
        <w:rPr>
          <w:rFonts w:eastAsia="Times New Roman" w:cs="Times New Roman"/>
          <w:b/>
          <w:bCs/>
          <w:color w:val="auto"/>
          <w:kern w:val="36"/>
          <w:sz w:val="48"/>
          <w:szCs w:val="48"/>
        </w:rPr>
      </w:pPr>
      <w:r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CDER </w:t>
      </w:r>
      <w:r w:rsidR="00DD0C0B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>Slide</w:t>
      </w:r>
      <w:r w:rsidR="004C5AC0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 S</w:t>
      </w:r>
      <w:bookmarkStart w:id="0" w:name="_GoBack"/>
      <w:bookmarkEnd w:id="0"/>
      <w:r w:rsidR="00DD0C0B"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>how</w:t>
      </w:r>
      <w:r>
        <w:rPr>
          <w:rFonts w:eastAsia="Times New Roman" w:cs="Times New Roman"/>
          <w:b/>
          <w:bCs/>
          <w:color w:val="auto"/>
          <w:kern w:val="36"/>
          <w:sz w:val="48"/>
          <w:szCs w:val="48"/>
        </w:rPr>
        <w:t xml:space="preserve"> Quiz</w:t>
      </w:r>
    </w:p>
    <w:p w14:paraId="1B30924A" w14:textId="31112594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FDA is the oldest federal agency dedicated to consumer protection.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15613366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100" w:afterAutospacing="1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ED6AFC0" w14:textId="17D0CAAF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Events that have killed or injured thousands in the United States have spurred lawmakers to ensure that safer drugs are brought to market.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5D69CC7D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53E9CCF" w14:textId="4D4EF8F2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During the 19th century, most drugs were manufactured in the United States.</w:t>
      </w:r>
      <w:r w:rsidRPr="00DD0C0B">
        <w:rPr>
          <w:rFonts w:eastAsia="Times New Roman" w:cs="Times New Roman"/>
          <w:b/>
          <w:bCs/>
          <w:color w:val="333333"/>
          <w:szCs w:val="24"/>
        </w:rPr>
        <w:t>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4C160EB2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D83ABBD" w14:textId="50002C6C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early underpinnings of biological therapeutics occurred between 1880 and 1900.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517CD852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50889059" w14:textId="07098D2B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Lawmakers exposed the abuses of medicinal remedies manufactured by corrupt chemists.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4DBC6C03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319ABE47" w14:textId="0CCB9166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Food, Drug and Cosmetic Act of 1938 required proof of safety, authorized inspections and outlawed false claims.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19CEE7AE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2C862D82" w14:textId="21421052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 xml:space="preserve">Senator Estes Kefauver of Tennessee investigated the practices of the pharmaceutical industry and these hearings resulted in important new drug amendments to further </w:t>
      </w:r>
      <w:proofErr w:type="gramStart"/>
      <w:r w:rsidRPr="00DD0C0B">
        <w:rPr>
          <w:rFonts w:eastAsia="Times New Roman" w:cs="Times New Roman"/>
          <w:color w:val="333333"/>
          <w:szCs w:val="24"/>
        </w:rPr>
        <w:t>insure</w:t>
      </w:r>
      <w:proofErr w:type="gramEnd"/>
      <w:r w:rsidRPr="00DD0C0B">
        <w:rPr>
          <w:rFonts w:eastAsia="Times New Roman" w:cs="Times New Roman"/>
          <w:color w:val="333333"/>
          <w:szCs w:val="24"/>
        </w:rPr>
        <w:t xml:space="preserve"> the safety of drugs.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546E74DD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78644D90" w14:textId="7E8C5729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The Orphan Drug Act authorizes the FDA to develop drugs to combat rare diseases affecting more than 500,000 people.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2DF3ADEE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B7D808A" w14:textId="296FD685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Early drug containers might have no labels and lacked standard terminology about these products. 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508B4FB4" w14:textId="77777777" w:rsidR="00DD0C0B" w:rsidRPr="00DD0C0B" w:rsidRDefault="00DD0C0B" w:rsidP="00DD0C0B">
      <w:pPr>
        <w:pStyle w:val="ListParagraph"/>
        <w:shd w:val="clear" w:color="auto" w:fill="FFFFFF"/>
        <w:spacing w:before="100" w:beforeAutospacing="1" w:after="0" w:line="240" w:lineRule="auto"/>
        <w:ind w:right="0" w:firstLine="0"/>
        <w:rPr>
          <w:rFonts w:eastAsia="Times New Roman" w:cs="Times New Roman"/>
          <w:color w:val="333333"/>
          <w:szCs w:val="24"/>
        </w:rPr>
      </w:pPr>
    </w:p>
    <w:p w14:paraId="0D8210A5" w14:textId="16E0250F" w:rsidR="00DD0C0B" w:rsidRPr="00DD0C0B" w:rsidRDefault="00C036DD" w:rsidP="00DD0C0B">
      <w:pPr>
        <w:pStyle w:val="ListParagraph"/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right="0"/>
        <w:rPr>
          <w:rFonts w:eastAsia="Times New Roman" w:cs="Times New Roman"/>
          <w:color w:val="333333"/>
          <w:szCs w:val="24"/>
        </w:rPr>
      </w:pPr>
      <w:r w:rsidRPr="00DD0C0B">
        <w:rPr>
          <w:rFonts w:eastAsia="Times New Roman" w:cs="Times New Roman"/>
          <w:color w:val="333333"/>
          <w:szCs w:val="24"/>
        </w:rPr>
        <w:t>Because new medicines require huge investments in time and money, the FDA has developed a Critical Path Initiative to reduce the time, cost and uncertainty of drug development.</w:t>
      </w:r>
      <w:r w:rsidRPr="00DD0C0B">
        <w:rPr>
          <w:rFonts w:eastAsia="Times New Roman" w:cs="Times New Roman"/>
          <w:color w:val="333333"/>
          <w:szCs w:val="24"/>
        </w:rPr>
        <w:br/>
      </w:r>
      <w:r w:rsidRPr="00DD0C0B">
        <w:rPr>
          <w:rFonts w:eastAsia="Times New Roman" w:cs="Times New Roman"/>
          <w:b/>
          <w:bCs/>
          <w:color w:val="333333"/>
          <w:szCs w:val="24"/>
        </w:rPr>
        <w:t>True</w:t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="00DD0C0B">
        <w:rPr>
          <w:rFonts w:eastAsia="Times New Roman" w:cs="Times New Roman"/>
          <w:b/>
          <w:bCs/>
          <w:color w:val="333333"/>
          <w:szCs w:val="24"/>
        </w:rPr>
        <w:tab/>
      </w:r>
      <w:r w:rsidRPr="00DD0C0B">
        <w:rPr>
          <w:rFonts w:eastAsia="Times New Roman" w:cs="Times New Roman"/>
          <w:b/>
          <w:bCs/>
          <w:color w:val="333333"/>
          <w:szCs w:val="24"/>
        </w:rPr>
        <w:t>False</w:t>
      </w:r>
    </w:p>
    <w:p w14:paraId="624DA69D" w14:textId="620B0037" w:rsidR="009A61C4" w:rsidRPr="009A61C4" w:rsidRDefault="009A61C4" w:rsidP="009A61C4">
      <w:pPr>
        <w:spacing w:before="100" w:beforeAutospacing="1" w:after="100" w:afterAutospacing="1" w:line="240" w:lineRule="auto"/>
        <w:ind w:right="0" w:firstLine="0"/>
        <w:rPr>
          <w:rFonts w:eastAsia="Times New Roman" w:cs="Times New Roman"/>
          <w:color w:val="auto"/>
          <w:szCs w:val="24"/>
        </w:rPr>
      </w:pPr>
    </w:p>
    <w:p w14:paraId="57FDB4F1" w14:textId="77777777" w:rsidR="00AF5A8A" w:rsidRDefault="00AF5A8A" w:rsidP="009A61C4">
      <w:pPr>
        <w:ind w:firstLine="0"/>
      </w:pPr>
    </w:p>
    <w:sectPr w:rsidR="00AF5A8A" w:rsidSect="00B261D3"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0D509" w14:textId="77777777" w:rsidR="00594EF3" w:rsidRDefault="00594EF3" w:rsidP="00B261D3">
      <w:pPr>
        <w:spacing w:after="0" w:line="240" w:lineRule="auto"/>
      </w:pPr>
      <w:r>
        <w:separator/>
      </w:r>
    </w:p>
  </w:endnote>
  <w:endnote w:type="continuationSeparator" w:id="0">
    <w:p w14:paraId="7897647B" w14:textId="77777777" w:rsidR="00594EF3" w:rsidRDefault="00594EF3" w:rsidP="00B2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 Pro">
    <w:altName w:val="Arial"/>
    <w:panose1 w:val="00000000000000000000"/>
    <w:charset w:val="00"/>
    <w:family w:val="swiss"/>
    <w:notTrueType/>
    <w:pitch w:val="variable"/>
    <w:sig w:usb0="00000001" w:usb1="4000A47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1B4199" w14:textId="77777777" w:rsidR="00B261D3" w:rsidRPr="0049535B" w:rsidRDefault="00B261D3" w:rsidP="00B261D3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262626" w:themeColor="text1" w:themeTint="D9"/>
        <w:sz w:val="20"/>
        <w:szCs w:val="20"/>
      </w:rPr>
    </w:pPr>
    <w:r w:rsidRPr="0049535B">
      <w:rPr>
        <w:rFonts w:ascii="DIN Pro" w:eastAsia="Times New Roman" w:hAnsi="DIN Pro" w:cs="Tahoma"/>
        <w:b/>
        <w:color w:val="262626" w:themeColor="text1" w:themeTint="D9"/>
        <w:sz w:val="20"/>
        <w:szCs w:val="20"/>
      </w:rPr>
      <w:t>U.S. Food and Drug Administration</w:t>
    </w:r>
  </w:p>
  <w:p w14:paraId="66B050DD" w14:textId="77777777" w:rsidR="00B261D3" w:rsidRPr="00FC5FD6" w:rsidRDefault="00B261D3" w:rsidP="00B261D3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007CBA"/>
        <w:sz w:val="20"/>
        <w:szCs w:val="20"/>
      </w:rPr>
    </w:pPr>
    <w:r>
      <w:rPr>
        <w:rFonts w:ascii="DIN Pro" w:eastAsia="Times New Roman" w:hAnsi="DIN Pro" w:cs="Tahoma"/>
        <w:b/>
        <w:color w:val="007CBA"/>
        <w:sz w:val="20"/>
        <w:szCs w:val="20"/>
      </w:rPr>
      <w:t>www.fda.gov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22B91" w14:textId="77777777" w:rsidR="00346154" w:rsidRPr="0049535B" w:rsidRDefault="00346154" w:rsidP="00346154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262626" w:themeColor="text1" w:themeTint="D9"/>
        <w:sz w:val="20"/>
        <w:szCs w:val="20"/>
      </w:rPr>
    </w:pPr>
    <w:r w:rsidRPr="0049535B">
      <w:rPr>
        <w:rFonts w:ascii="DIN Pro" w:eastAsia="Times New Roman" w:hAnsi="DIN Pro" w:cs="Tahoma"/>
        <w:b/>
        <w:color w:val="262626" w:themeColor="text1" w:themeTint="D9"/>
        <w:sz w:val="20"/>
        <w:szCs w:val="20"/>
      </w:rPr>
      <w:t>U.S. Food and Drug Administration</w:t>
    </w:r>
  </w:p>
  <w:p w14:paraId="558E0668" w14:textId="77777777" w:rsidR="00346154" w:rsidRPr="00346154" w:rsidRDefault="00346154" w:rsidP="00346154">
    <w:pPr>
      <w:tabs>
        <w:tab w:val="left" w:pos="0"/>
      </w:tabs>
      <w:spacing w:after="0" w:line="240" w:lineRule="auto"/>
      <w:ind w:right="0" w:firstLine="0"/>
      <w:jc w:val="center"/>
      <w:rPr>
        <w:rFonts w:ascii="DIN Pro" w:eastAsia="Times New Roman" w:hAnsi="DIN Pro" w:cs="Tahoma"/>
        <w:b/>
        <w:color w:val="007CBA"/>
        <w:sz w:val="20"/>
        <w:szCs w:val="20"/>
      </w:rPr>
    </w:pPr>
    <w:r>
      <w:rPr>
        <w:rFonts w:ascii="DIN Pro" w:eastAsia="Times New Roman" w:hAnsi="DIN Pro" w:cs="Tahoma"/>
        <w:b/>
        <w:color w:val="007CBA"/>
        <w:sz w:val="20"/>
        <w:szCs w:val="20"/>
      </w:rPr>
      <w:t>www.fda.gov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4165BF" w14:textId="77777777" w:rsidR="00594EF3" w:rsidRDefault="00594EF3" w:rsidP="00B261D3">
      <w:pPr>
        <w:spacing w:after="0" w:line="240" w:lineRule="auto"/>
      </w:pPr>
      <w:r>
        <w:separator/>
      </w:r>
    </w:p>
  </w:footnote>
  <w:footnote w:type="continuationSeparator" w:id="0">
    <w:p w14:paraId="5C41F684" w14:textId="77777777" w:rsidR="00594EF3" w:rsidRDefault="00594EF3" w:rsidP="00B2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12C35" w14:textId="77777777" w:rsidR="00B261D3" w:rsidRDefault="00B261D3" w:rsidP="00B261D3">
    <w:pPr>
      <w:pStyle w:val="Header"/>
      <w:jc w:val="right"/>
    </w:pPr>
    <w:r>
      <w:rPr>
        <w:noProof/>
      </w:rPr>
      <w:drawing>
        <wp:inline distT="0" distB="0" distL="0" distR="0" wp14:anchorId="7E8AC31C" wp14:editId="2C6C0554">
          <wp:extent cx="1791565" cy="340360"/>
          <wp:effectExtent l="0" t="0" r="0" b="2540"/>
          <wp:docPr id="1" name="Picture 1" descr="Official logo for the U.S. Food &amp; Drug Administration, Department of Health and Human Services" title="FDA Visual Ident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Da logo for letterhead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-44" b="48588"/>
                  <a:stretch/>
                </pic:blipFill>
                <pic:spPr bwMode="auto">
                  <a:xfrm>
                    <a:off x="0" y="0"/>
                    <a:ext cx="1797836" cy="3415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383A65"/>
    <w:multiLevelType w:val="multilevel"/>
    <w:tmpl w:val="0BDA21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3A2F64"/>
    <w:multiLevelType w:val="hybridMultilevel"/>
    <w:tmpl w:val="831AFD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1C4"/>
    <w:rsid w:val="00077FCE"/>
    <w:rsid w:val="002C3908"/>
    <w:rsid w:val="00346154"/>
    <w:rsid w:val="004C5AC0"/>
    <w:rsid w:val="0055080A"/>
    <w:rsid w:val="00554393"/>
    <w:rsid w:val="00594EF3"/>
    <w:rsid w:val="007A1601"/>
    <w:rsid w:val="008E4F24"/>
    <w:rsid w:val="00910A7D"/>
    <w:rsid w:val="009A61C4"/>
    <w:rsid w:val="009D62A3"/>
    <w:rsid w:val="00A1078A"/>
    <w:rsid w:val="00AF5A8A"/>
    <w:rsid w:val="00B261D3"/>
    <w:rsid w:val="00BB2547"/>
    <w:rsid w:val="00C036DD"/>
    <w:rsid w:val="00C76851"/>
    <w:rsid w:val="00DD0C0B"/>
    <w:rsid w:val="00D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C5307"/>
  <w15:docId w15:val="{F755E206-E7AB-4247-8E8A-B38268FF9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ourier New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F24"/>
    <w:pPr>
      <w:spacing w:after="3" w:line="478" w:lineRule="auto"/>
      <w:ind w:right="4" w:firstLine="711"/>
    </w:pPr>
    <w:rPr>
      <w:rFonts w:ascii="Times New Roman" w:hAnsi="Times New Roman" w:cs="Courier New"/>
      <w:color w:val="000000"/>
      <w:sz w:val="24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61D3"/>
    <w:pPr>
      <w:spacing w:before="100" w:beforeAutospacing="1" w:after="240" w:line="240" w:lineRule="auto"/>
      <w:ind w:right="0" w:firstLine="0"/>
      <w:outlineLvl w:val="0"/>
    </w:pPr>
    <w:rPr>
      <w:rFonts w:eastAsia="Times New Roman" w:cs="Times New Roman"/>
      <w:b/>
      <w:color w:val="auto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554393"/>
    <w:pPr>
      <w:spacing w:before="240" w:after="60"/>
      <w:outlineLvl w:val="0"/>
    </w:pPr>
    <w:rPr>
      <w:rFonts w:ascii="Calibri" w:eastAsia="Times New Roman" w:hAnsi="Calibri" w:cs="Times New Roman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554393"/>
    <w:rPr>
      <w:rFonts w:eastAsia="Times New Roman" w:cs="Times New Roman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9"/>
    <w:rsid w:val="00B261D3"/>
    <w:rPr>
      <w:rFonts w:ascii="Times New Roman" w:eastAsia="Times New Roman" w:hAnsi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A61C4"/>
    <w:pPr>
      <w:spacing w:before="100" w:beforeAutospacing="1" w:after="100" w:afterAutospacing="1" w:line="240" w:lineRule="auto"/>
      <w:ind w:right="0" w:firstLine="0"/>
    </w:pPr>
    <w:rPr>
      <w:rFonts w:eastAsia="Times New Roman" w:cs="Times New Roman"/>
      <w:color w:val="auto"/>
      <w:szCs w:val="24"/>
    </w:rPr>
  </w:style>
  <w:style w:type="character" w:styleId="Emphasis">
    <w:name w:val="Emphasis"/>
    <w:uiPriority w:val="20"/>
    <w:qFormat/>
    <w:rsid w:val="009A61C4"/>
    <w:rPr>
      <w:i/>
      <w:iCs/>
    </w:rPr>
  </w:style>
  <w:style w:type="character" w:styleId="Hyperlink">
    <w:name w:val="Hyperlink"/>
    <w:uiPriority w:val="99"/>
    <w:semiHidden/>
    <w:unhideWhenUsed/>
    <w:rsid w:val="009A61C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908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61D3"/>
    <w:rPr>
      <w:rFonts w:ascii="Times New Roman" w:hAnsi="Times New Roman" w:cs="Courier New"/>
      <w:color w:val="000000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B2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61D3"/>
    <w:rPr>
      <w:rFonts w:ascii="Times New Roman" w:hAnsi="Times New Roman" w:cs="Courier New"/>
      <w:color w:val="000000"/>
      <w:sz w:val="24"/>
      <w:szCs w:val="22"/>
    </w:rPr>
  </w:style>
  <w:style w:type="character" w:styleId="Strong">
    <w:name w:val="Strong"/>
    <w:basedOn w:val="DefaultParagraphFont"/>
    <w:uiPriority w:val="22"/>
    <w:qFormat/>
    <w:rsid w:val="00C036DD"/>
    <w:rPr>
      <w:b/>
      <w:bCs/>
    </w:rPr>
  </w:style>
  <w:style w:type="paragraph" w:styleId="ListParagraph">
    <w:name w:val="List Paragraph"/>
    <w:basedOn w:val="Normal"/>
    <w:uiPriority w:val="34"/>
    <w:qFormat/>
    <w:rsid w:val="00DD0C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1330</CharactersWithSpaces>
  <SharedDoc>false</SharedDoc>
  <HLinks>
    <vt:vector size="6" baseType="variant">
      <vt:variant>
        <vt:i4>92</vt:i4>
      </vt:variant>
      <vt:variant>
        <vt:i4>6</vt:i4>
      </vt:variant>
      <vt:variant>
        <vt:i4>0</vt:i4>
      </vt:variant>
      <vt:variant>
        <vt:i4>5</vt:i4>
      </vt:variant>
      <vt:variant>
        <vt:lpwstr>https://www.fda.gov/AboutFDA/WhatWeDo/History/ProductRegulation/SelectionsFromFDLIUpdateSeriesonFDAHistory/ld-biologics.html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Biologics Centennial: 100 Years of Biologics Regulation</dc:title>
  <dc:subject>FDA History</dc:subject>
  <dc:creator>Burrows, Vanessa</dc:creator>
  <cp:keywords>biologics; regulation; vaccines; biotechnology</cp:keywords>
  <cp:lastModifiedBy>Burrows, Vanessa</cp:lastModifiedBy>
  <cp:revision>4</cp:revision>
  <dcterms:created xsi:type="dcterms:W3CDTF">2021-04-02T15:16:00Z</dcterms:created>
  <dcterms:modified xsi:type="dcterms:W3CDTF">2021-04-02T15:31:00Z</dcterms:modified>
</cp:coreProperties>
</file>